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24E88" w14:textId="0EFD45D4" w:rsidR="00645388" w:rsidRDefault="00645388" w:rsidP="00645388">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bookmarkStart w:id="0" w:name="_GoBack"/>
      <w:bookmarkEnd w:id="0"/>
      <w:r>
        <w:rPr>
          <w:rFonts w:ascii="Arial" w:hAnsi="Arial" w:cs="Arial"/>
          <w:b/>
          <w:bCs/>
          <w:sz w:val="24"/>
          <w:szCs w:val="24"/>
          <w:lang w:val="en-US"/>
        </w:rPr>
        <w:t>3GPP TSG-RAN WG4 #9</w:t>
      </w:r>
      <w:r w:rsidR="00EC3DB1">
        <w:rPr>
          <w:rFonts w:ascii="Arial" w:hAnsi="Arial" w:cs="Arial"/>
          <w:b/>
          <w:bCs/>
          <w:sz w:val="24"/>
          <w:szCs w:val="24"/>
          <w:lang w:val="en-US"/>
        </w:rPr>
        <w:t>4</w:t>
      </w:r>
      <w:r w:rsidR="00153940">
        <w:rPr>
          <w:rFonts w:ascii="Arial" w:hAnsi="Arial" w:cs="Arial"/>
          <w:b/>
          <w:bCs/>
          <w:sz w:val="24"/>
          <w:szCs w:val="24"/>
          <w:lang w:val="en-US"/>
        </w:rPr>
        <w:t>bis-e</w:t>
      </w:r>
      <w:r>
        <w:rPr>
          <w:rFonts w:ascii="Arial" w:hAnsi="Arial" w:cs="Arial"/>
          <w:b/>
          <w:sz w:val="24"/>
          <w:lang w:val="en-US"/>
        </w:rPr>
        <w:tab/>
      </w:r>
      <w:r>
        <w:rPr>
          <w:rFonts w:ascii="Arial" w:hAnsi="Arial" w:cs="Arial"/>
          <w:b/>
          <w:bCs/>
          <w:sz w:val="32"/>
          <w:szCs w:val="32"/>
          <w:lang w:val="en-US"/>
        </w:rPr>
        <w:t>R4-</w:t>
      </w:r>
      <w:r w:rsidR="00153940">
        <w:rPr>
          <w:rFonts w:ascii="Arial" w:hAnsi="Arial" w:cs="Arial"/>
          <w:b/>
          <w:bCs/>
          <w:sz w:val="32"/>
          <w:szCs w:val="32"/>
          <w:lang w:val="en-US"/>
        </w:rPr>
        <w:t>20</w:t>
      </w:r>
      <w:r w:rsidR="00592268">
        <w:rPr>
          <w:rFonts w:ascii="Arial" w:hAnsi="Arial" w:cs="Arial"/>
          <w:b/>
          <w:bCs/>
          <w:sz w:val="32"/>
          <w:szCs w:val="32"/>
          <w:lang w:val="en-US"/>
        </w:rPr>
        <w:t>03100</w:t>
      </w:r>
    </w:p>
    <w:p w14:paraId="41FB8914" w14:textId="7C008F60" w:rsidR="00645388" w:rsidRDefault="00153940" w:rsidP="00645388">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Online</w:t>
      </w:r>
      <w:r w:rsidR="00645388">
        <w:rPr>
          <w:rFonts w:ascii="Arial" w:hAnsi="Arial" w:cs="Arial"/>
          <w:b/>
          <w:bCs/>
          <w:sz w:val="24"/>
          <w:szCs w:val="24"/>
        </w:rPr>
        <w:t xml:space="preserve">, </w:t>
      </w:r>
      <w:r w:rsidR="00EC3DB1">
        <w:rPr>
          <w:rFonts w:ascii="Arial" w:hAnsi="Arial" w:cs="Arial"/>
          <w:b/>
          <w:bCs/>
          <w:sz w:val="24"/>
          <w:szCs w:val="24"/>
        </w:rPr>
        <w:t>2</w:t>
      </w:r>
      <w:r>
        <w:rPr>
          <w:rFonts w:ascii="Arial" w:hAnsi="Arial" w:cs="Arial"/>
          <w:b/>
          <w:bCs/>
          <w:sz w:val="24"/>
          <w:szCs w:val="24"/>
        </w:rPr>
        <w:t>0</w:t>
      </w:r>
      <w:r w:rsidR="00645388">
        <w:rPr>
          <w:rFonts w:ascii="Arial" w:hAnsi="Arial" w:cs="Arial"/>
          <w:b/>
          <w:bCs/>
          <w:sz w:val="24"/>
          <w:szCs w:val="24"/>
          <w:vertAlign w:val="superscript"/>
        </w:rPr>
        <w:t>th</w:t>
      </w:r>
      <w:r w:rsidR="00645388">
        <w:rPr>
          <w:rFonts w:ascii="Arial" w:hAnsi="Arial" w:cs="Arial"/>
          <w:b/>
          <w:bCs/>
          <w:sz w:val="24"/>
          <w:szCs w:val="24"/>
        </w:rPr>
        <w:t xml:space="preserve"> – </w:t>
      </w:r>
      <w:r w:rsidR="00592268">
        <w:rPr>
          <w:rFonts w:ascii="Arial" w:hAnsi="Arial" w:cs="Arial"/>
          <w:b/>
          <w:bCs/>
          <w:sz w:val="24"/>
          <w:szCs w:val="24"/>
        </w:rPr>
        <w:t>30</w:t>
      </w:r>
      <w:r w:rsidR="00645388">
        <w:rPr>
          <w:rFonts w:ascii="Arial" w:hAnsi="Arial" w:cs="Arial"/>
          <w:b/>
          <w:bCs/>
          <w:sz w:val="24"/>
          <w:szCs w:val="24"/>
          <w:vertAlign w:val="superscript"/>
        </w:rPr>
        <w:t xml:space="preserve">th </w:t>
      </w:r>
      <w:r>
        <w:rPr>
          <w:rFonts w:ascii="Arial" w:hAnsi="Arial" w:cs="Arial"/>
          <w:b/>
          <w:bCs/>
          <w:sz w:val="24"/>
          <w:szCs w:val="24"/>
        </w:rPr>
        <w:t>April</w:t>
      </w:r>
      <w:r w:rsidR="00645388">
        <w:rPr>
          <w:rFonts w:ascii="Arial" w:hAnsi="Arial" w:cs="Arial"/>
          <w:b/>
          <w:bCs/>
          <w:sz w:val="24"/>
          <w:szCs w:val="24"/>
        </w:rPr>
        <w:t>, 20</w:t>
      </w:r>
      <w:r w:rsidR="00EC3DB1">
        <w:rPr>
          <w:rFonts w:ascii="Arial" w:hAnsi="Arial" w:cs="Arial"/>
          <w:b/>
          <w:bCs/>
          <w:sz w:val="24"/>
          <w:szCs w:val="24"/>
        </w:rPr>
        <w:t>20</w:t>
      </w:r>
      <w:r w:rsidR="00645388">
        <w:rPr>
          <w:b/>
          <w:bCs/>
        </w:rPr>
        <w:t xml:space="preserve">        </w:t>
      </w:r>
    </w:p>
    <w:p w14:paraId="69C69DA7" w14:textId="77777777" w:rsidR="005813AA" w:rsidRPr="007535E3" w:rsidRDefault="005813AA" w:rsidP="005813AA">
      <w:pPr>
        <w:pStyle w:val="Footer"/>
        <w:jc w:val="both"/>
        <w:rPr>
          <w:noProof w:val="0"/>
        </w:rPr>
      </w:pPr>
    </w:p>
    <w:p w14:paraId="039B0443" w14:textId="76991183" w:rsidR="00672856" w:rsidRPr="002176B5" w:rsidRDefault="005813AA" w:rsidP="00672856">
      <w:pPr>
        <w:jc w:val="both"/>
        <w:rPr>
          <w:rFonts w:ascii="Arial" w:hAnsi="Arial" w:cs="Arial"/>
          <w:b/>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576668">
        <w:rPr>
          <w:rFonts w:ascii="Arial" w:hAnsi="Arial" w:cs="Arial"/>
          <w:sz w:val="24"/>
          <w:lang w:val="en-US" w:eastAsia="zh-CN"/>
        </w:rPr>
        <w:t xml:space="preserve">Requirements for </w:t>
      </w:r>
      <w:r w:rsidR="00374D63">
        <w:rPr>
          <w:rFonts w:ascii="Arial" w:hAnsi="Arial" w:cs="Arial"/>
          <w:sz w:val="24"/>
          <w:lang w:val="en-US" w:eastAsia="zh-CN"/>
        </w:rPr>
        <w:t>RRC connected</w:t>
      </w:r>
      <w:r w:rsidR="003B656D">
        <w:rPr>
          <w:rFonts w:ascii="Arial" w:hAnsi="Arial" w:cs="Arial"/>
          <w:sz w:val="24"/>
          <w:lang w:val="en-US" w:eastAsia="zh-CN"/>
        </w:rPr>
        <w:t xml:space="preserve"> mode</w:t>
      </w:r>
      <w:r w:rsidR="00576668">
        <w:rPr>
          <w:rFonts w:ascii="Arial" w:hAnsi="Arial" w:cs="Arial"/>
          <w:sz w:val="24"/>
          <w:lang w:val="en-US" w:eastAsia="zh-CN"/>
        </w:rPr>
        <w:t xml:space="preserve"> mobility in high speed</w:t>
      </w:r>
      <w:r w:rsidR="003B656D">
        <w:rPr>
          <w:rFonts w:ascii="Arial" w:hAnsi="Arial" w:cs="Arial"/>
          <w:sz w:val="24"/>
          <w:lang w:val="en-US" w:eastAsia="zh-CN"/>
        </w:rPr>
        <w:t xml:space="preserve"> NR</w:t>
      </w:r>
    </w:p>
    <w:p w14:paraId="6CFF23BA" w14:textId="77777777"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14:paraId="130A88EA" w14:textId="62D4C785"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592268">
        <w:rPr>
          <w:rFonts w:ascii="Arial" w:hAnsi="Arial" w:cs="Arial"/>
          <w:sz w:val="24"/>
          <w:lang w:val="en-US" w:eastAsia="zh-CN"/>
        </w:rPr>
        <w:t>6.17.1.2</w:t>
      </w:r>
    </w:p>
    <w:p w14:paraId="163333AE" w14:textId="77777777"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14:paraId="4552564E" w14:textId="376FD9DB" w:rsidR="00E948E9" w:rsidRDefault="005813AA" w:rsidP="002E5998">
      <w:pPr>
        <w:pStyle w:val="Heading1"/>
      </w:pPr>
      <w:r w:rsidRPr="00DA6BF8">
        <w:t>Introduction</w:t>
      </w:r>
    </w:p>
    <w:p w14:paraId="59056F50" w14:textId="1A3AA62C" w:rsidR="00153940" w:rsidRPr="00153940" w:rsidRDefault="007562AE" w:rsidP="00153940">
      <w:r>
        <w:t xml:space="preserve">In RAN4#94e, interRAT mobility for high speed was discussed with the conclusion in </w:t>
      </w:r>
      <w:r>
        <w:fldChar w:fldCharType="begin"/>
      </w:r>
      <w:r>
        <w:instrText xml:space="preserve"> REF _Ref35937634 \r \h </w:instrText>
      </w:r>
      <w:r>
        <w:fldChar w:fldCharType="separate"/>
      </w:r>
      <w:r>
        <w:t>[1]</w:t>
      </w:r>
      <w:r>
        <w:fldChar w:fldCharType="end"/>
      </w:r>
      <w:r>
        <w:t>. In this contribution we provide further views on the options in the way forward</w:t>
      </w:r>
      <w:r w:rsidR="003B656D">
        <w:t xml:space="preserve"> related to </w:t>
      </w:r>
      <w:r w:rsidR="00374D63">
        <w:t>RRC connected mode</w:t>
      </w:r>
      <w:r w:rsidR="00592268">
        <w:t>.</w:t>
      </w:r>
    </w:p>
    <w:p w14:paraId="76C00D7C" w14:textId="7B62419B" w:rsidR="00902595" w:rsidRDefault="00902595" w:rsidP="00902595">
      <w:pPr>
        <w:pStyle w:val="Heading1"/>
        <w:jc w:val="both"/>
        <w:rPr>
          <w:rFonts w:eastAsia="SimSun"/>
          <w:lang w:val="en-US" w:eastAsia="zh-CN"/>
        </w:rPr>
      </w:pPr>
      <w:r>
        <w:rPr>
          <w:rFonts w:eastAsia="SimSun"/>
          <w:lang w:val="en-US" w:eastAsia="zh-CN"/>
        </w:rPr>
        <w:t>Discussion</w:t>
      </w:r>
    </w:p>
    <w:p w14:paraId="2D82FB9F" w14:textId="39292DC8" w:rsidR="00374D63" w:rsidRDefault="003B656D" w:rsidP="003B656D">
      <w:pPr>
        <w:tabs>
          <w:tab w:val="num" w:pos="1440"/>
        </w:tabs>
        <w:rPr>
          <w:lang w:val="en-US" w:eastAsia="zh-CN"/>
        </w:rPr>
      </w:pPr>
      <w:r>
        <w:rPr>
          <w:lang w:val="en-US" w:eastAsia="zh-CN"/>
        </w:rPr>
        <w:t>From the way forward,</w:t>
      </w:r>
      <w:r w:rsidR="00374D63">
        <w:rPr>
          <w:lang w:val="en-US" w:eastAsia="zh-CN"/>
        </w:rPr>
        <w:t xml:space="preserve"> there are no remaining open issues for RRC connected mode non DRX operation. For DRX operation,</w:t>
      </w:r>
      <w:r>
        <w:rPr>
          <w:lang w:val="en-US" w:eastAsia="zh-CN"/>
        </w:rPr>
        <w:t xml:space="preserve"> </w:t>
      </w:r>
      <w:r w:rsidR="00374D63">
        <w:rPr>
          <w:lang w:val="en-US" w:eastAsia="zh-CN"/>
        </w:rPr>
        <w:t xml:space="preserve"> the key issues which can be identified from the WF are</w:t>
      </w:r>
    </w:p>
    <w:p w14:paraId="13A89FA8" w14:textId="2C5F5BBA" w:rsidR="00374D63" w:rsidRDefault="00374D63" w:rsidP="00374D63">
      <w:pPr>
        <w:numPr>
          <w:ilvl w:val="0"/>
          <w:numId w:val="9"/>
        </w:numPr>
        <w:rPr>
          <w:lang w:val="en-US" w:eastAsia="zh-CN"/>
        </w:rPr>
      </w:pPr>
      <w:r>
        <w:rPr>
          <w:lang w:val="en-US" w:eastAsia="zh-CN"/>
        </w:rPr>
        <w:t>W</w:t>
      </w:r>
      <w:r w:rsidRPr="003B656D">
        <w:rPr>
          <w:lang w:val="en-US" w:eastAsia="zh-CN"/>
        </w:rPr>
        <w:t>hether to keep M2, M3, M4 for cell re-selection with DRX cycle =0.32s</w:t>
      </w:r>
      <w:r>
        <w:rPr>
          <w:lang w:val="en-US" w:eastAsia="zh-CN"/>
        </w:rPr>
        <w:t>, and how to capture in specifications</w:t>
      </w:r>
    </w:p>
    <w:p w14:paraId="614EC81C" w14:textId="31F5C18B" w:rsidR="00374D63" w:rsidRDefault="00374D63" w:rsidP="00374D63">
      <w:pPr>
        <w:numPr>
          <w:ilvl w:val="0"/>
          <w:numId w:val="9"/>
        </w:numPr>
        <w:rPr>
          <w:lang w:val="en-US" w:eastAsia="zh-CN"/>
        </w:rPr>
      </w:pPr>
      <w:bookmarkStart w:id="1" w:name="_Hlk36024989"/>
      <w:r w:rsidRPr="00374D63">
        <w:rPr>
          <w:lang w:val="en-US" w:eastAsia="zh-CN"/>
        </w:rPr>
        <w:t>Cell identification delay requirements for DRX case in connected mode</w:t>
      </w:r>
    </w:p>
    <w:bookmarkEnd w:id="1"/>
    <w:p w14:paraId="7491B83D" w14:textId="70EC84CC" w:rsidR="00374D63" w:rsidRDefault="00374D63" w:rsidP="00374D63">
      <w:pPr>
        <w:numPr>
          <w:ilvl w:val="1"/>
          <w:numId w:val="9"/>
        </w:numPr>
        <w:rPr>
          <w:lang w:eastAsia="zh-CN"/>
        </w:rPr>
      </w:pPr>
      <w:r w:rsidRPr="00374D63">
        <w:rPr>
          <w:lang w:eastAsia="zh-CN"/>
        </w:rPr>
        <w:t>Measurement delay for DRX cycle &lt; 0.32s</w:t>
      </w:r>
    </w:p>
    <w:p w14:paraId="34420280" w14:textId="77A1FC21" w:rsidR="00374D63" w:rsidRPr="00374D63" w:rsidRDefault="00374D63" w:rsidP="00374D63">
      <w:pPr>
        <w:numPr>
          <w:ilvl w:val="1"/>
          <w:numId w:val="9"/>
        </w:numPr>
        <w:rPr>
          <w:lang w:eastAsia="zh-CN"/>
        </w:rPr>
      </w:pPr>
      <w:r w:rsidRPr="00374D63">
        <w:rPr>
          <w:lang w:eastAsia="zh-CN"/>
        </w:rPr>
        <w:t xml:space="preserve">Measurement delay for DRX cycle </w:t>
      </w:r>
      <w:r>
        <w:rPr>
          <w:lang w:eastAsia="zh-CN"/>
        </w:rPr>
        <w:t>≥</w:t>
      </w:r>
      <w:r w:rsidRPr="00374D63">
        <w:rPr>
          <w:lang w:eastAsia="zh-CN"/>
        </w:rPr>
        <w:t xml:space="preserve"> 0.32s</w:t>
      </w:r>
    </w:p>
    <w:p w14:paraId="75503D88" w14:textId="77777777" w:rsidR="00374D63" w:rsidRPr="00374D63" w:rsidRDefault="00374D63" w:rsidP="00374D63">
      <w:pPr>
        <w:numPr>
          <w:ilvl w:val="1"/>
          <w:numId w:val="9"/>
        </w:numPr>
        <w:rPr>
          <w:lang w:eastAsia="zh-CN"/>
        </w:rPr>
      </w:pPr>
      <w:r w:rsidRPr="00374D63">
        <w:rPr>
          <w:lang w:eastAsia="zh-CN"/>
        </w:rPr>
        <w:t>Applied DRX cycle in cell identification requirements for HST</w:t>
      </w:r>
    </w:p>
    <w:p w14:paraId="2253BDB8" w14:textId="37FF624C" w:rsidR="00374D63" w:rsidRDefault="00374D63" w:rsidP="00374D63">
      <w:pPr>
        <w:pStyle w:val="Heading2"/>
        <w:rPr>
          <w:lang w:val="en-US" w:eastAsia="zh-CN"/>
        </w:rPr>
      </w:pPr>
      <w:r>
        <w:rPr>
          <w:lang w:val="en-US" w:eastAsia="zh-CN"/>
        </w:rPr>
        <w:t>W</w:t>
      </w:r>
      <w:r w:rsidR="003B656D" w:rsidRPr="003B656D">
        <w:rPr>
          <w:lang w:val="en-US" w:eastAsia="zh-CN"/>
        </w:rPr>
        <w:t>hether to keep M2, M3, M4 for cell re-selection with DRX cycle =0.32s</w:t>
      </w:r>
    </w:p>
    <w:p w14:paraId="11D5AFF1" w14:textId="01A1FA43" w:rsidR="003B656D" w:rsidRDefault="003B656D" w:rsidP="003B656D">
      <w:pPr>
        <w:tabs>
          <w:tab w:val="num" w:pos="1440"/>
        </w:tabs>
        <w:rPr>
          <w:lang w:val="en-US" w:eastAsia="zh-CN"/>
        </w:rPr>
      </w:pPr>
      <w:r>
        <w:rPr>
          <w:lang w:val="en-US" w:eastAsia="zh-CN"/>
        </w:rPr>
        <w:t>4 different options were considered</w:t>
      </w:r>
    </w:p>
    <w:p w14:paraId="435D1804" w14:textId="77777777" w:rsidR="00374D63" w:rsidRPr="00374D63" w:rsidRDefault="00374D63" w:rsidP="00374D63">
      <w:pPr>
        <w:tabs>
          <w:tab w:val="num" w:pos="1440"/>
        </w:tabs>
        <w:rPr>
          <w:lang w:eastAsia="zh-CN"/>
        </w:rPr>
      </w:pPr>
      <w:r w:rsidRPr="00374D63">
        <w:rPr>
          <w:lang w:eastAsia="zh-CN"/>
        </w:rPr>
        <w:t>Option 1 (NOKIA): remove the factor without restriction on SMTC period</w:t>
      </w:r>
    </w:p>
    <w:p w14:paraId="656F2E96" w14:textId="77777777" w:rsidR="00374D63" w:rsidRPr="00374D63" w:rsidRDefault="00374D63" w:rsidP="00374D63">
      <w:pPr>
        <w:tabs>
          <w:tab w:val="num" w:pos="1440"/>
        </w:tabs>
        <w:rPr>
          <w:lang w:eastAsia="zh-CN"/>
        </w:rPr>
      </w:pPr>
      <w:r w:rsidRPr="00374D63">
        <w:rPr>
          <w:lang w:eastAsia="zh-CN"/>
        </w:rPr>
        <w:t>Option 2 (QC): when SMTC &lt; 40, remove 1.5x scaling factor; when SMTC &gt; =40, keep the scaling factor</w:t>
      </w:r>
    </w:p>
    <w:p w14:paraId="755B283A" w14:textId="77777777" w:rsidR="00374D63" w:rsidRPr="00374D63" w:rsidRDefault="00374D63" w:rsidP="00374D63">
      <w:pPr>
        <w:tabs>
          <w:tab w:val="num" w:pos="1440"/>
        </w:tabs>
        <w:rPr>
          <w:lang w:eastAsia="zh-CN"/>
        </w:rPr>
      </w:pPr>
      <w:r w:rsidRPr="00374D63">
        <w:rPr>
          <w:lang w:eastAsia="zh-CN"/>
        </w:rPr>
        <w:t>Option 3 (CMCC, DCM, Apple, Samsung, Intel, QC, HW, CATT, MTK): when SMTC &lt; =40, remove 1.5x scaling factor; when SMTC &gt; 40, keep the scaling factor</w:t>
      </w:r>
    </w:p>
    <w:p w14:paraId="750D9AB3" w14:textId="77777777" w:rsidR="00374D63" w:rsidRDefault="00374D63" w:rsidP="00374D63">
      <w:pPr>
        <w:tabs>
          <w:tab w:val="num" w:pos="1440"/>
        </w:tabs>
        <w:rPr>
          <w:lang w:eastAsia="zh-CN"/>
        </w:rPr>
      </w:pPr>
      <w:r w:rsidRPr="00374D63">
        <w:rPr>
          <w:lang w:eastAsia="zh-CN"/>
        </w:rPr>
        <w:t>Option 4 (Ericsson, QC): When SMTC &lt; =40, remove M2, M3, M4; when SMTC &gt;40, M2 = 1.5, M3 = M4 = 2. Adding notes in the requirements, e.g. “Note x : Operation with scaling factor M=1.5, M=2 may not be sufficient in all high speed deployments considered in this release of the specifications”</w:t>
      </w:r>
      <w:r>
        <w:rPr>
          <w:lang w:eastAsia="zh-CN"/>
        </w:rPr>
        <w:t>.</w:t>
      </w:r>
    </w:p>
    <w:p w14:paraId="3D581E19" w14:textId="7F78E4F4" w:rsidR="003B656D" w:rsidRDefault="009A2051" w:rsidP="00374D63">
      <w:pPr>
        <w:tabs>
          <w:tab w:val="num" w:pos="1440"/>
        </w:tabs>
        <w:rPr>
          <w:lang w:eastAsia="zh-CN"/>
        </w:rPr>
      </w:pPr>
      <w:r>
        <w:rPr>
          <w:lang w:eastAsia="zh-CN"/>
        </w:rPr>
        <w:t xml:space="preserve">Option 2 is somewhat similar from </w:t>
      </w:r>
      <w:r w:rsidR="00374D63">
        <w:rPr>
          <w:lang w:eastAsia="zh-CN"/>
        </w:rPr>
        <w:t>a</w:t>
      </w:r>
      <w:r>
        <w:rPr>
          <w:lang w:eastAsia="zh-CN"/>
        </w:rPr>
        <w:t xml:space="preserve"> scaling perspective to release 15; the SMTC threshold used is still 20ms and below for no scaling. Option 3 is similar to option 2, but uses a threshold of 40ms and below where no scaling is used. Option 4 is </w:t>
      </w:r>
      <w:r w:rsidR="00521A49">
        <w:rPr>
          <w:lang w:eastAsia="zh-CN"/>
        </w:rPr>
        <w:t>identical to option 3 but with the addition of a note that the requirements may be unsuitable.</w:t>
      </w:r>
    </w:p>
    <w:p w14:paraId="35330EEC" w14:textId="719B870E" w:rsidR="003B656D" w:rsidRDefault="00521A49" w:rsidP="003B656D">
      <w:pPr>
        <w:tabs>
          <w:tab w:val="num" w:pos="1440"/>
        </w:tabs>
        <w:rPr>
          <w:lang w:eastAsia="zh-CN"/>
        </w:rPr>
      </w:pPr>
      <w:r>
        <w:rPr>
          <w:lang w:eastAsia="zh-CN"/>
        </w:rPr>
        <w:t>Considering the similarities between the options, there are 3 fundamental issues to discuss</w:t>
      </w:r>
    </w:p>
    <w:p w14:paraId="76991C0B" w14:textId="661DE3AB" w:rsidR="003B656D" w:rsidRDefault="00521A49" w:rsidP="001D4D42">
      <w:pPr>
        <w:numPr>
          <w:ilvl w:val="0"/>
          <w:numId w:val="6"/>
        </w:numPr>
        <w:rPr>
          <w:lang w:eastAsia="zh-CN"/>
        </w:rPr>
      </w:pPr>
      <w:r>
        <w:rPr>
          <w:lang w:eastAsia="zh-CN"/>
        </w:rPr>
        <w:t xml:space="preserve">Should </w:t>
      </w:r>
      <w:r w:rsidR="00374D63">
        <w:rPr>
          <w:lang w:eastAsia="zh-CN"/>
        </w:rPr>
        <w:t>1.5x scaling</w:t>
      </w:r>
      <w:r>
        <w:rPr>
          <w:lang w:eastAsia="zh-CN"/>
        </w:rPr>
        <w:t xml:space="preserve"> be removed for all SMTC periods?</w:t>
      </w:r>
    </w:p>
    <w:p w14:paraId="7698AC5A" w14:textId="322837B7" w:rsidR="003B656D" w:rsidRDefault="00521A49" w:rsidP="001D4D42">
      <w:pPr>
        <w:numPr>
          <w:ilvl w:val="0"/>
          <w:numId w:val="6"/>
        </w:numPr>
        <w:rPr>
          <w:lang w:eastAsia="zh-CN"/>
        </w:rPr>
      </w:pPr>
      <w:r>
        <w:rPr>
          <w:lang w:eastAsia="zh-CN"/>
        </w:rPr>
        <w:t>If the answer to 1. is no, should the threshold be 20ms or 40ms for no M2,M3,M4 scaling</w:t>
      </w:r>
    </w:p>
    <w:p w14:paraId="4BEE3C4D" w14:textId="0158DB97" w:rsidR="003B656D" w:rsidRDefault="00521A49" w:rsidP="001D4D42">
      <w:pPr>
        <w:numPr>
          <w:ilvl w:val="0"/>
          <w:numId w:val="6"/>
        </w:numPr>
        <w:rPr>
          <w:lang w:eastAsia="zh-CN"/>
        </w:rPr>
      </w:pPr>
      <w:r>
        <w:rPr>
          <w:lang w:eastAsia="zh-CN"/>
        </w:rPr>
        <w:t>Is a note important for the cases where a scaling factor is used</w:t>
      </w:r>
    </w:p>
    <w:p w14:paraId="021DB2A1" w14:textId="77777777" w:rsidR="00521A49" w:rsidRDefault="00521A49" w:rsidP="00521A49">
      <w:pPr>
        <w:ind w:left="720"/>
        <w:rPr>
          <w:lang w:eastAsia="zh-CN"/>
        </w:rPr>
      </w:pPr>
    </w:p>
    <w:p w14:paraId="42EDC252" w14:textId="1A6B643C" w:rsidR="00521A49" w:rsidRPr="00521A49" w:rsidRDefault="00521A49" w:rsidP="001D4D42">
      <w:pPr>
        <w:numPr>
          <w:ilvl w:val="0"/>
          <w:numId w:val="7"/>
        </w:numPr>
        <w:rPr>
          <w:u w:val="single"/>
          <w:lang w:eastAsia="zh-CN"/>
        </w:rPr>
      </w:pPr>
      <w:r w:rsidRPr="00521A49">
        <w:rPr>
          <w:u w:val="single"/>
          <w:lang w:eastAsia="zh-CN"/>
        </w:rPr>
        <w:t xml:space="preserve">Should </w:t>
      </w:r>
      <w:r w:rsidR="00374D63">
        <w:rPr>
          <w:u w:val="single"/>
          <w:lang w:eastAsia="zh-CN"/>
        </w:rPr>
        <w:t>1.5x</w:t>
      </w:r>
      <w:r w:rsidRPr="00521A49">
        <w:rPr>
          <w:u w:val="single"/>
          <w:lang w:eastAsia="zh-CN"/>
        </w:rPr>
        <w:t xml:space="preserve"> be removed for all SMTC periods?</w:t>
      </w:r>
    </w:p>
    <w:p w14:paraId="7A6BB8D9" w14:textId="2C394D83" w:rsidR="003B656D" w:rsidRDefault="00521A49" w:rsidP="00521A49">
      <w:pPr>
        <w:rPr>
          <w:lang w:eastAsia="zh-CN"/>
        </w:rPr>
      </w:pPr>
      <w:r>
        <w:rPr>
          <w:lang w:eastAsia="zh-CN"/>
        </w:rPr>
        <w:lastRenderedPageBreak/>
        <w:t xml:space="preserve">The original reason for introduction of the 1.5x scaling factor in release 15 specifications was due to concerns on UE power consumption if the SMTC is misaligned with the UE DRX reception cycle. For example, with 320ms DRX cycle and 160ms SMTC period shifted by 80ms relative to the DRX on period, the UE may have to perform measurements 80ms after (or before) receiving </w:t>
      </w:r>
      <w:r w:rsidR="00374D63">
        <w:rPr>
          <w:lang w:eastAsia="zh-CN"/>
        </w:rPr>
        <w:t>PDCCH</w:t>
      </w:r>
      <w:r>
        <w:rPr>
          <w:lang w:eastAsia="zh-CN"/>
        </w:rPr>
        <w:t xml:space="preserve">. This will cause increased power consumption compared with the case where </w:t>
      </w:r>
      <w:r w:rsidR="00374D63">
        <w:rPr>
          <w:lang w:eastAsia="zh-CN"/>
        </w:rPr>
        <w:t>PDCCH</w:t>
      </w:r>
      <w:r>
        <w:rPr>
          <w:lang w:eastAsia="zh-CN"/>
        </w:rPr>
        <w:t xml:space="preserve"> reception and intrafrequency measurement opportunity are close together.</w:t>
      </w:r>
    </w:p>
    <w:p w14:paraId="2CE2A6A5" w14:textId="45504BC9" w:rsidR="003B656D" w:rsidRDefault="00521A49" w:rsidP="00521A49">
      <w:pPr>
        <w:rPr>
          <w:lang w:eastAsia="zh-CN"/>
        </w:rPr>
      </w:pPr>
      <w:r>
        <w:rPr>
          <w:lang w:eastAsia="zh-CN"/>
        </w:rPr>
        <w:t xml:space="preserve">The opinion related to option 1 was basically that the UE will not perform sufficiently with 320ms DRX cycle </w:t>
      </w:r>
      <w:r w:rsidR="00374D63">
        <w:rPr>
          <w:lang w:eastAsia="zh-CN"/>
        </w:rPr>
        <w:t>1.5x scaling</w:t>
      </w:r>
      <w:r>
        <w:rPr>
          <w:lang w:eastAsia="zh-CN"/>
        </w:rPr>
        <w:t xml:space="preserve"> </w:t>
      </w:r>
      <w:r w:rsidR="00374D63">
        <w:rPr>
          <w:lang w:eastAsia="zh-CN"/>
        </w:rPr>
        <w:t>is</w:t>
      </w:r>
      <w:r>
        <w:rPr>
          <w:lang w:eastAsia="zh-CN"/>
        </w:rPr>
        <w:t xml:space="preserve"> applied. We agree with this viewpoint, but the reason we do not fully support option 1 is that our view is that the network and UE should be jointly responsible to ensure high speed operation. It is clear that some enhancement of requirements is needed to facilitate high speed operation, but at the same time it does not seem reasonable for the network to expect that the UE can provide the same performance with 160ms SMTC period as with 5ms SMTC period. Although we think it would be technically feasible to implement a UE which did not need </w:t>
      </w:r>
      <w:r w:rsidR="00374D63">
        <w:rPr>
          <w:lang w:eastAsia="zh-CN"/>
        </w:rPr>
        <w:t>1.5x</w:t>
      </w:r>
      <w:r>
        <w:rPr>
          <w:lang w:eastAsia="zh-CN"/>
        </w:rPr>
        <w:t xml:space="preserve"> scaling factor</w:t>
      </w:r>
      <w:r w:rsidR="001D4D42">
        <w:rPr>
          <w:lang w:eastAsia="zh-CN"/>
        </w:rPr>
        <w:t xml:space="preserve"> for any SMTC periodicity and met enhanced rel16 requirements for high speed (</w:t>
      </w:r>
      <w:r w:rsidR="00592268">
        <w:rPr>
          <w:lang w:eastAsia="zh-CN"/>
        </w:rPr>
        <w:t>i.e.</w:t>
      </w:r>
      <w:r w:rsidR="001D4D42">
        <w:rPr>
          <w:lang w:eastAsia="zh-CN"/>
        </w:rPr>
        <w:t xml:space="preserve"> option 1 is technically implementable), it does not seem that the network takes its part in providing sufficient reference symbols for the UE to be implemented in a reasonably power efficient way. Hence we propose</w:t>
      </w:r>
    </w:p>
    <w:p w14:paraId="023723D1" w14:textId="09A9E20F" w:rsidR="003B656D" w:rsidRPr="003B656D" w:rsidRDefault="001D4D42" w:rsidP="00521A49">
      <w:pPr>
        <w:rPr>
          <w:b/>
          <w:bCs/>
          <w:lang w:eastAsia="zh-CN"/>
        </w:rPr>
      </w:pPr>
      <w:r>
        <w:rPr>
          <w:b/>
          <w:bCs/>
          <w:lang w:eastAsia="zh-CN"/>
        </w:rPr>
        <w:t xml:space="preserve">Proposal 1 : </w:t>
      </w:r>
      <w:r w:rsidR="00374D63">
        <w:rPr>
          <w:b/>
          <w:bCs/>
          <w:lang w:eastAsia="zh-CN"/>
        </w:rPr>
        <w:t>1.5x</w:t>
      </w:r>
      <w:r w:rsidR="00B63974">
        <w:rPr>
          <w:b/>
          <w:bCs/>
          <w:lang w:eastAsia="zh-CN"/>
        </w:rPr>
        <w:t xml:space="preserve"> scaling factor</w:t>
      </w:r>
      <w:r>
        <w:rPr>
          <w:b/>
          <w:bCs/>
          <w:lang w:eastAsia="zh-CN"/>
        </w:rPr>
        <w:t xml:space="preserve"> </w:t>
      </w:r>
      <w:r w:rsidR="00B63974">
        <w:rPr>
          <w:b/>
          <w:bCs/>
          <w:lang w:eastAsia="zh-CN"/>
        </w:rPr>
        <w:t>is</w:t>
      </w:r>
      <w:r>
        <w:rPr>
          <w:b/>
          <w:bCs/>
          <w:lang w:eastAsia="zh-CN"/>
        </w:rPr>
        <w:t xml:space="preserve"> retained for some SMTC periods</w:t>
      </w:r>
    </w:p>
    <w:p w14:paraId="5A3B6CEC" w14:textId="2EF64D2E" w:rsidR="00CE7AEA" w:rsidRPr="001D4D42" w:rsidRDefault="001D4D42" w:rsidP="001D4D42">
      <w:pPr>
        <w:numPr>
          <w:ilvl w:val="0"/>
          <w:numId w:val="7"/>
        </w:numPr>
        <w:rPr>
          <w:u w:val="single"/>
          <w:lang w:val="en-US" w:eastAsia="zh-CN"/>
        </w:rPr>
      </w:pPr>
      <w:r w:rsidRPr="001D4D42">
        <w:rPr>
          <w:u w:val="single"/>
          <w:lang w:eastAsia="zh-CN"/>
        </w:rPr>
        <w:t>Should the threshold be 20ms or 40ms for no M2,M3,M4 scaling</w:t>
      </w:r>
    </w:p>
    <w:p w14:paraId="39FBA199" w14:textId="4C98BD5B" w:rsidR="001D4D42" w:rsidRDefault="001D4D42" w:rsidP="001D4D42">
      <w:pPr>
        <w:rPr>
          <w:lang w:eastAsia="zh-CN"/>
        </w:rPr>
      </w:pPr>
      <w:r>
        <w:rPr>
          <w:lang w:eastAsia="zh-CN"/>
        </w:rPr>
        <w:t xml:space="preserve">20ms SMTC periodicity is the period assumed by UEs for initial sync, so we think that this will be a commonly used setting in NR. On the other hand, it is reasonable to expect a different </w:t>
      </w:r>
      <w:r w:rsidR="00592268">
        <w:rPr>
          <w:lang w:eastAsia="zh-CN"/>
        </w:rPr>
        <w:t>trade-off</w:t>
      </w:r>
      <w:r>
        <w:rPr>
          <w:lang w:eastAsia="zh-CN"/>
        </w:rPr>
        <w:t xml:space="preserve"> between power versus performance for high speed operation, given that the use of 1.5 scaling factor probably results in insufficient UE performance, at least in demanding release 16 sc</w:t>
      </w:r>
      <w:r w:rsidR="00374D63">
        <w:rPr>
          <w:lang w:eastAsia="zh-CN"/>
        </w:rPr>
        <w:t>e</w:t>
      </w:r>
      <w:r>
        <w:rPr>
          <w:lang w:eastAsia="zh-CN"/>
        </w:rPr>
        <w:t>narios. Hence, we propose that the threshold should be increased for high speed operation from 20ms to 40ms. This can be viewed as a compromise between option 1 and option 2</w:t>
      </w:r>
    </w:p>
    <w:p w14:paraId="33DB1714" w14:textId="6ECA7889" w:rsidR="001D4D42" w:rsidRDefault="001D4D42" w:rsidP="001D4D42">
      <w:pPr>
        <w:rPr>
          <w:b/>
          <w:bCs/>
          <w:lang w:eastAsia="zh-CN"/>
        </w:rPr>
      </w:pPr>
      <w:r>
        <w:rPr>
          <w:b/>
          <w:bCs/>
          <w:lang w:eastAsia="zh-CN"/>
        </w:rPr>
        <w:t xml:space="preserve">Proposal 2 : </w:t>
      </w:r>
      <w:r w:rsidRPr="003B656D">
        <w:rPr>
          <w:b/>
          <w:bCs/>
          <w:lang w:eastAsia="zh-CN"/>
        </w:rPr>
        <w:t xml:space="preserve">When SMTC &lt; 40, remove </w:t>
      </w:r>
      <w:r w:rsidR="00374D63">
        <w:rPr>
          <w:b/>
          <w:bCs/>
          <w:lang w:eastAsia="zh-CN"/>
        </w:rPr>
        <w:t>1.5x scaling factor</w:t>
      </w:r>
      <w:r w:rsidRPr="003B656D">
        <w:rPr>
          <w:b/>
          <w:bCs/>
          <w:lang w:eastAsia="zh-CN"/>
        </w:rPr>
        <w:t xml:space="preserve">; when SMTC &gt;= 40, </w:t>
      </w:r>
      <w:r w:rsidR="00374D63">
        <w:rPr>
          <w:b/>
          <w:bCs/>
          <w:lang w:eastAsia="zh-CN"/>
        </w:rPr>
        <w:t>retain 1.5x scaling factor</w:t>
      </w:r>
    </w:p>
    <w:p w14:paraId="53FF9C3A" w14:textId="4A3C5818" w:rsidR="001D4D42" w:rsidRPr="001D4D42" w:rsidRDefault="001D4D42" w:rsidP="001D4D42">
      <w:pPr>
        <w:numPr>
          <w:ilvl w:val="0"/>
          <w:numId w:val="7"/>
        </w:numPr>
        <w:rPr>
          <w:u w:val="single"/>
          <w:lang w:val="en-US" w:eastAsia="zh-CN"/>
        </w:rPr>
      </w:pPr>
      <w:r w:rsidRPr="001D4D42">
        <w:rPr>
          <w:u w:val="single"/>
          <w:lang w:eastAsia="zh-CN"/>
        </w:rPr>
        <w:t>Is a note important for the cases where a scaling factor is used?</w:t>
      </w:r>
    </w:p>
    <w:p w14:paraId="080C7607" w14:textId="16342CCF" w:rsidR="001D4D42" w:rsidRDefault="001D4D42" w:rsidP="001D4D42">
      <w:pPr>
        <w:rPr>
          <w:lang w:eastAsia="zh-CN"/>
        </w:rPr>
      </w:pPr>
      <w:r w:rsidRPr="001D4D42">
        <w:rPr>
          <w:lang w:eastAsia="zh-CN"/>
        </w:rPr>
        <w:t xml:space="preserve">Basically, we expect that with </w:t>
      </w:r>
      <w:r w:rsidR="00374D63">
        <w:rPr>
          <w:lang w:eastAsia="zh-CN"/>
        </w:rPr>
        <w:t>1.5x scaling factor</w:t>
      </w:r>
      <w:r>
        <w:rPr>
          <w:lang w:eastAsia="zh-CN"/>
        </w:rPr>
        <w:t xml:space="preserve"> </w:t>
      </w:r>
      <w:r w:rsidR="00374D63">
        <w:rPr>
          <w:lang w:eastAsia="zh-CN"/>
        </w:rPr>
        <w:t xml:space="preserve">and 320ms DRX cycle </w:t>
      </w:r>
      <w:r>
        <w:rPr>
          <w:lang w:eastAsia="zh-CN"/>
        </w:rPr>
        <w:t xml:space="preserve">the resulting performance will be insufficient at least for 500km/h operation with 700m ISD. </w:t>
      </w:r>
      <w:r w:rsidR="00590AF4">
        <w:rPr>
          <w:lang w:eastAsia="zh-CN"/>
        </w:rPr>
        <w:t xml:space="preserve">The situation is somewhat similar to requirements for 2.56s DRX cycle in LTE which were deemed to be </w:t>
      </w:r>
      <w:r w:rsidR="00592268">
        <w:rPr>
          <w:lang w:eastAsia="zh-CN"/>
        </w:rPr>
        <w:t>insufficient</w:t>
      </w:r>
      <w:r w:rsidR="00590AF4">
        <w:rPr>
          <w:lang w:eastAsia="zh-CN"/>
        </w:rPr>
        <w:t xml:space="preserve"> even for 350km/h operation and were therefore not enhanced. In our view, there is a significant potential for misunderstanding in the NR specification that since the requirements appear within a table of enhanced requirements for high speed train, that it would be expected that the requirements are sufficient for all deployments. This is not quite the same situation as for the aforementioned LTE 2.56s DRX cycle, because in that case the requirement can be compared with the </w:t>
      </w:r>
      <w:r w:rsidR="00592268">
        <w:rPr>
          <w:lang w:eastAsia="zh-CN"/>
        </w:rPr>
        <w:t>non-enhanced</w:t>
      </w:r>
      <w:r w:rsidR="00590AF4">
        <w:rPr>
          <w:lang w:eastAsia="zh-CN"/>
        </w:rPr>
        <w:t xml:space="preserve"> requirement and it can be seen that the requirement is not enhanced. In the case of NR, the requirement may be enhanced but still contain the 1.5x scaling factor which do not make it fully suitable in all cases. Hence, we think the note is important. Exact wording of the note may be discussed further.</w:t>
      </w:r>
    </w:p>
    <w:p w14:paraId="053763BC" w14:textId="421DFC3D" w:rsidR="00590AF4" w:rsidRDefault="00590AF4" w:rsidP="001D4D42">
      <w:pPr>
        <w:rPr>
          <w:b/>
          <w:bCs/>
          <w:lang w:val="en-US" w:eastAsia="zh-CN"/>
        </w:rPr>
      </w:pPr>
      <w:r>
        <w:rPr>
          <w:b/>
          <w:bCs/>
          <w:lang w:val="en-US" w:eastAsia="zh-CN"/>
        </w:rPr>
        <w:t xml:space="preserve">Proposal 3 A note such as </w:t>
      </w:r>
      <w:r w:rsidRPr="00590AF4">
        <w:rPr>
          <w:b/>
          <w:bCs/>
          <w:lang w:val="en-US" w:eastAsia="zh-CN"/>
        </w:rPr>
        <w:t xml:space="preserve">Note x : Operation with scaling factor </w:t>
      </w:r>
      <w:r w:rsidR="00B63974">
        <w:rPr>
          <w:b/>
          <w:bCs/>
          <w:lang w:val="en-US" w:eastAsia="zh-CN"/>
        </w:rPr>
        <w:t xml:space="preserve">1.5 </w:t>
      </w:r>
      <w:r w:rsidRPr="00590AF4">
        <w:rPr>
          <w:b/>
          <w:bCs/>
          <w:lang w:val="en-US" w:eastAsia="zh-CN"/>
        </w:rPr>
        <w:t xml:space="preserve">may not be sufficient in all high speed deployments considered in this release of the </w:t>
      </w:r>
      <w:r w:rsidR="00592268" w:rsidRPr="00590AF4">
        <w:rPr>
          <w:b/>
          <w:bCs/>
          <w:lang w:val="en-US" w:eastAsia="zh-CN"/>
        </w:rPr>
        <w:t>specifications</w:t>
      </w:r>
      <w:r>
        <w:rPr>
          <w:b/>
          <w:bCs/>
          <w:lang w:val="en-US" w:eastAsia="zh-CN"/>
        </w:rPr>
        <w:t xml:space="preserve"> should be added in NR high speed specifications.</w:t>
      </w:r>
    </w:p>
    <w:p w14:paraId="2E361F81" w14:textId="77777777" w:rsidR="00B63974" w:rsidRPr="00B63974" w:rsidRDefault="00B63974" w:rsidP="00B63974">
      <w:pPr>
        <w:pStyle w:val="Heading2"/>
        <w:rPr>
          <w:lang w:val="en-US" w:eastAsia="zh-CN"/>
        </w:rPr>
      </w:pPr>
      <w:r w:rsidRPr="00B63974">
        <w:rPr>
          <w:lang w:val="en-US" w:eastAsia="zh-CN"/>
        </w:rPr>
        <w:t>Cell identification delay requirements for DRX case in connected mode</w:t>
      </w:r>
    </w:p>
    <w:p w14:paraId="2BAD4C6D" w14:textId="745D35DD" w:rsidR="00B63974" w:rsidRDefault="00B63974" w:rsidP="00B63974">
      <w:pPr>
        <w:pStyle w:val="Heading3"/>
        <w:rPr>
          <w:lang w:eastAsia="zh-CN"/>
        </w:rPr>
      </w:pPr>
      <w:bookmarkStart w:id="2" w:name="_Ref36025539"/>
      <w:r w:rsidRPr="00374D63">
        <w:rPr>
          <w:lang w:eastAsia="zh-CN"/>
        </w:rPr>
        <w:t>Measurement delay for DRX cycle &lt; 0.32s</w:t>
      </w:r>
      <w:bookmarkEnd w:id="2"/>
    </w:p>
    <w:p w14:paraId="36E854C6" w14:textId="504C181E" w:rsidR="00B63974" w:rsidRDefault="001F12CD" w:rsidP="00B63974">
      <w:pPr>
        <w:rPr>
          <w:lang w:eastAsia="zh-CN"/>
        </w:rPr>
      </w:pPr>
      <w:r>
        <w:rPr>
          <w:lang w:eastAsia="zh-CN"/>
        </w:rPr>
        <w:t xml:space="preserve">Although in the cell identification section of the WF, this discussion relates to measurement period which is relevant both for cell identification and measurement of already identified cells. </w:t>
      </w:r>
      <w:r w:rsidR="00B63974">
        <w:rPr>
          <w:lang w:eastAsia="zh-CN"/>
        </w:rPr>
        <w:t xml:space="preserve">In an earlier contribution, we have presented </w:t>
      </w:r>
      <w:r>
        <w:rPr>
          <w:lang w:eastAsia="zh-CN"/>
        </w:rPr>
        <w:t xml:space="preserve">simulation </w:t>
      </w:r>
      <w:r w:rsidR="00B63974">
        <w:rPr>
          <w:lang w:eastAsia="zh-CN"/>
        </w:rPr>
        <w:t xml:space="preserve">results for measurement accuracy in HST; </w:t>
      </w:r>
      <w:r>
        <w:rPr>
          <w:lang w:eastAsia="zh-CN"/>
        </w:rPr>
        <w:t>the observations are</w:t>
      </w:r>
    </w:p>
    <w:p w14:paraId="2E9695BC" w14:textId="77777777" w:rsidR="001F12CD" w:rsidRPr="001F12CD" w:rsidRDefault="001F12CD" w:rsidP="001F12CD">
      <w:pPr>
        <w:rPr>
          <w:i/>
          <w:iCs/>
          <w:lang w:eastAsia="zh-CN"/>
        </w:rPr>
      </w:pPr>
      <w:r w:rsidRPr="001F12CD">
        <w:rPr>
          <w:i/>
          <w:iCs/>
          <w:lang w:eastAsia="zh-CN"/>
        </w:rPr>
        <w:t>Observation 1 : Compared with 5 measurement samples, 3 measurement samples gives only a minor degradation in both SS-RSRP and SS-RSRQ measurement accuracy in HST conditions (degradation of less than (-0.4,+0.25)dB in all cases</w:t>
      </w:r>
    </w:p>
    <w:p w14:paraId="12278C56" w14:textId="61B9C0A0" w:rsidR="001F12CD" w:rsidRDefault="001F12CD" w:rsidP="001F12CD">
      <w:pPr>
        <w:rPr>
          <w:i/>
          <w:iCs/>
          <w:lang w:eastAsia="zh-CN"/>
        </w:rPr>
      </w:pPr>
      <w:r w:rsidRPr="001F12CD">
        <w:rPr>
          <w:i/>
          <w:iCs/>
          <w:lang w:eastAsia="zh-CN"/>
        </w:rPr>
        <w:t>Observation 2 : In synchronous cases, a bias of approximately 0.75dB is observed</w:t>
      </w:r>
    </w:p>
    <w:p w14:paraId="2E1F9829" w14:textId="2B57450C" w:rsidR="001F12CD" w:rsidRDefault="001F12CD" w:rsidP="001F12CD">
      <w:pPr>
        <w:rPr>
          <w:lang w:eastAsia="zh-CN"/>
        </w:rPr>
      </w:pPr>
      <w:r>
        <w:rPr>
          <w:lang w:eastAsia="zh-CN"/>
        </w:rPr>
        <w:t>From our perspective, based on the results 3 samples is sufficient to provide necessary accuracy for DRX based measurements, and it would complicate both network and UE implementation to take a more dynamic approach. For example, on the network implementation side, other measurement parameters such as L3 filtering, time to trigger or thresholds might need to be retuned for different DRX cycle durations if the number of samples used in the UE is a function of DRX cycle duration. Hence, we support option 2 from the WF and propose</w:t>
      </w:r>
    </w:p>
    <w:p w14:paraId="4E00A37E" w14:textId="3C855667" w:rsidR="001F12CD" w:rsidRPr="001F12CD" w:rsidRDefault="001F12CD" w:rsidP="001F12CD">
      <w:pPr>
        <w:rPr>
          <w:b/>
          <w:bCs/>
          <w:lang w:eastAsia="zh-CN"/>
        </w:rPr>
      </w:pPr>
      <w:r w:rsidRPr="001F12CD">
        <w:rPr>
          <w:b/>
          <w:bCs/>
          <w:lang w:eastAsia="zh-CN"/>
        </w:rPr>
        <w:t>Proposal 4: 3 samples is used for measurement period for all DRX cycles &lt;0.32s</w:t>
      </w:r>
    </w:p>
    <w:p w14:paraId="77182D43" w14:textId="6F3BBC75" w:rsidR="001F12CD" w:rsidRPr="001F12CD" w:rsidRDefault="001F12CD" w:rsidP="001F12CD">
      <w:pPr>
        <w:pStyle w:val="Heading3"/>
        <w:numPr>
          <w:ilvl w:val="0"/>
          <w:numId w:val="0"/>
        </w:numPr>
        <w:ind w:left="720" w:hanging="720"/>
        <w:rPr>
          <w:b/>
          <w:bCs/>
          <w:lang w:eastAsia="zh-CN"/>
        </w:rPr>
      </w:pPr>
    </w:p>
    <w:p w14:paraId="3259C42B" w14:textId="625092B8" w:rsidR="00374D63" w:rsidRDefault="00B63974" w:rsidP="00B63974">
      <w:pPr>
        <w:pStyle w:val="Heading3"/>
        <w:rPr>
          <w:lang w:eastAsia="zh-CN"/>
        </w:rPr>
      </w:pPr>
      <w:r w:rsidRPr="00374D63">
        <w:rPr>
          <w:lang w:eastAsia="zh-CN"/>
        </w:rPr>
        <w:t xml:space="preserve">Measurement delay for DRX cycle </w:t>
      </w:r>
      <w:r>
        <w:rPr>
          <w:lang w:eastAsia="zh-CN"/>
        </w:rPr>
        <w:t>≥</w:t>
      </w:r>
      <w:r w:rsidRPr="00374D63">
        <w:rPr>
          <w:lang w:eastAsia="zh-CN"/>
        </w:rPr>
        <w:t xml:space="preserve"> 0.32s</w:t>
      </w:r>
    </w:p>
    <w:p w14:paraId="48198CDD" w14:textId="4D60EF1A" w:rsidR="001F12CD" w:rsidRDefault="001F12CD" w:rsidP="001F12CD">
      <w:pPr>
        <w:rPr>
          <w:lang w:eastAsia="zh-CN"/>
        </w:rPr>
      </w:pPr>
      <w:r>
        <w:rPr>
          <w:lang w:eastAsia="zh-CN"/>
        </w:rPr>
        <w:t xml:space="preserve">This discussion is very similar to that in section </w:t>
      </w:r>
      <w:r>
        <w:rPr>
          <w:lang w:eastAsia="zh-CN"/>
        </w:rPr>
        <w:fldChar w:fldCharType="begin"/>
      </w:r>
      <w:r>
        <w:rPr>
          <w:lang w:eastAsia="zh-CN"/>
        </w:rPr>
        <w:instrText xml:space="preserve"> REF _Ref36025539 \r \h </w:instrText>
      </w:r>
      <w:r>
        <w:rPr>
          <w:lang w:eastAsia="zh-CN"/>
        </w:rPr>
      </w:r>
      <w:r>
        <w:rPr>
          <w:lang w:eastAsia="zh-CN"/>
        </w:rPr>
        <w:fldChar w:fldCharType="separate"/>
      </w:r>
      <w:r>
        <w:rPr>
          <w:lang w:eastAsia="zh-CN"/>
        </w:rPr>
        <w:t>2.2.1</w:t>
      </w:r>
      <w:r>
        <w:rPr>
          <w:lang w:eastAsia="zh-CN"/>
        </w:rPr>
        <w:fldChar w:fldCharType="end"/>
      </w:r>
      <w:r>
        <w:rPr>
          <w:lang w:eastAsia="zh-CN"/>
        </w:rPr>
        <w:t xml:space="preserve">. Firstly, it is necessary to use the shortest possible measurement period at the longest supported DRX cycle, which we think based on our earlier results is 3 samples. Then as per section </w:t>
      </w:r>
      <w:r>
        <w:rPr>
          <w:lang w:eastAsia="zh-CN"/>
        </w:rPr>
        <w:fldChar w:fldCharType="begin"/>
      </w:r>
      <w:r>
        <w:rPr>
          <w:lang w:eastAsia="zh-CN"/>
        </w:rPr>
        <w:instrText xml:space="preserve"> REF _Ref36025539 \r \h </w:instrText>
      </w:r>
      <w:r>
        <w:rPr>
          <w:lang w:eastAsia="zh-CN"/>
        </w:rPr>
      </w:r>
      <w:r>
        <w:rPr>
          <w:lang w:eastAsia="zh-CN"/>
        </w:rPr>
        <w:fldChar w:fldCharType="separate"/>
      </w:r>
      <w:r>
        <w:rPr>
          <w:lang w:eastAsia="zh-CN"/>
        </w:rPr>
        <w:t>2.2.1</w:t>
      </w:r>
      <w:r>
        <w:rPr>
          <w:lang w:eastAsia="zh-CN"/>
        </w:rPr>
        <w:fldChar w:fldCharType="end"/>
      </w:r>
      <w:r>
        <w:rPr>
          <w:lang w:eastAsia="zh-CN"/>
        </w:rPr>
        <w:t>, the use of other sample numbers for shorter DRX cycles still ≥</w:t>
      </w:r>
      <w:r w:rsidRPr="00374D63">
        <w:rPr>
          <w:lang w:eastAsia="zh-CN"/>
        </w:rPr>
        <w:t xml:space="preserve"> 0.32s</w:t>
      </w:r>
      <w:r>
        <w:rPr>
          <w:lang w:eastAsia="zh-CN"/>
        </w:rPr>
        <w:t xml:space="preserve"> would simply complicate UE and network implementation even if it gave sufficient performance. Hence we propose</w:t>
      </w:r>
    </w:p>
    <w:p w14:paraId="1AC18AF2" w14:textId="74066425" w:rsidR="001F12CD" w:rsidRPr="001F12CD" w:rsidRDefault="001F12CD" w:rsidP="001F12CD">
      <w:pPr>
        <w:rPr>
          <w:b/>
          <w:bCs/>
          <w:lang w:eastAsia="zh-CN"/>
        </w:rPr>
      </w:pPr>
      <w:r w:rsidRPr="001F12CD">
        <w:rPr>
          <w:b/>
          <w:bCs/>
          <w:lang w:eastAsia="zh-CN"/>
        </w:rPr>
        <w:t xml:space="preserve">Proposal 4: 3 samples is used for measurement period for all DRX cycles </w:t>
      </w:r>
      <w:r>
        <w:rPr>
          <w:b/>
          <w:bCs/>
          <w:lang w:eastAsia="zh-CN"/>
        </w:rPr>
        <w:t>≥</w:t>
      </w:r>
      <w:r w:rsidRPr="001F12CD">
        <w:rPr>
          <w:b/>
          <w:bCs/>
          <w:lang w:eastAsia="zh-CN"/>
        </w:rPr>
        <w:t>0.32s</w:t>
      </w:r>
    </w:p>
    <w:p w14:paraId="38C785E8" w14:textId="77777777" w:rsidR="00374D63" w:rsidRPr="00374D63" w:rsidRDefault="00B63974" w:rsidP="00B63974">
      <w:pPr>
        <w:pStyle w:val="Heading3"/>
        <w:rPr>
          <w:lang w:eastAsia="zh-CN"/>
        </w:rPr>
      </w:pPr>
      <w:r w:rsidRPr="00374D63">
        <w:rPr>
          <w:lang w:eastAsia="zh-CN"/>
        </w:rPr>
        <w:t>Applied DRX cycle in cell identification requirements for HST</w:t>
      </w:r>
    </w:p>
    <w:p w14:paraId="7A2A2D87" w14:textId="1991ED66" w:rsidR="00374D63" w:rsidRDefault="001F12CD" w:rsidP="001D4D42">
      <w:pPr>
        <w:rPr>
          <w:lang w:val="en-US" w:eastAsia="zh-CN"/>
        </w:rPr>
      </w:pPr>
      <w:r w:rsidRPr="001F12CD">
        <w:rPr>
          <w:lang w:val="en-US" w:eastAsia="zh-CN"/>
        </w:rPr>
        <w:t>From</w:t>
      </w:r>
      <w:r>
        <w:rPr>
          <w:lang w:val="en-US" w:eastAsia="zh-CN"/>
        </w:rPr>
        <w:t xml:space="preserve"> the way forward, there is only one detailed proposal which was discussed in RAN4#94e</w:t>
      </w:r>
    </w:p>
    <w:p w14:paraId="77C85223" w14:textId="77777777" w:rsidR="001F12CD" w:rsidRPr="001F12CD" w:rsidRDefault="001F12CD" w:rsidP="001F12CD">
      <w:pPr>
        <w:rPr>
          <w:lang w:val="en-US" w:eastAsia="zh-CN"/>
        </w:rPr>
      </w:pPr>
      <w:r w:rsidRPr="001F12CD">
        <w:rPr>
          <w:lang w:val="en-US" w:eastAsia="zh-CN"/>
        </w:rPr>
        <w:t>Option 1: for NR HST, enhanced requirements are considered for DRX cycle &lt;= 1.28s, and no enhanced requirements are considered for DRX cycle = 2.56s Other options are not precluded</w:t>
      </w:r>
    </w:p>
    <w:p w14:paraId="0E4D1DDA" w14:textId="050E3306" w:rsidR="001F12CD" w:rsidRDefault="001F12CD" w:rsidP="001F12CD">
      <w:pPr>
        <w:rPr>
          <w:lang w:val="en-US" w:eastAsia="zh-CN"/>
        </w:rPr>
      </w:pPr>
      <w:r w:rsidRPr="001F12CD">
        <w:rPr>
          <w:lang w:val="en-US" w:eastAsia="zh-CN"/>
        </w:rPr>
        <w:t>Other options are not precluded</w:t>
      </w:r>
    </w:p>
    <w:p w14:paraId="0CC818F1" w14:textId="57C5DEE2" w:rsidR="001F12CD" w:rsidRDefault="001F12CD" w:rsidP="001F12CD">
      <w:pPr>
        <w:rPr>
          <w:lang w:val="en-US" w:eastAsia="zh-CN"/>
        </w:rPr>
      </w:pPr>
      <w:r>
        <w:rPr>
          <w:lang w:val="en-US" w:eastAsia="zh-CN"/>
        </w:rPr>
        <w:t xml:space="preserve">The mobility requirements for NR HST are very demanding, since 700m ISD and 500km/h operation should be supported. In our analysis for interRAT mobility, we analyse that the time when an intrafrequency neighbor cell is better than -6dB Es/Iot may be </w:t>
      </w:r>
      <w:r w:rsidR="003C6690">
        <w:rPr>
          <w:lang w:val="en-US" w:eastAsia="zh-CN"/>
        </w:rPr>
        <w:t xml:space="preserve">2.88s. Even neglecting cell detection, a 3 sample measurement period at 1.28s DRX cycle is already 3.84s. For this most demanding deployment case, </w:t>
      </w:r>
      <w:r w:rsidR="009C7221">
        <w:rPr>
          <w:lang w:val="en-US" w:eastAsia="zh-CN"/>
        </w:rPr>
        <w:t xml:space="preserve">due to the measurement period </w:t>
      </w:r>
      <w:r w:rsidR="003C6690">
        <w:rPr>
          <w:lang w:val="en-US" w:eastAsia="zh-CN"/>
        </w:rPr>
        <w:t>it will</w:t>
      </w:r>
      <w:r w:rsidR="009C7221">
        <w:rPr>
          <w:lang w:val="en-US" w:eastAsia="zh-CN"/>
        </w:rPr>
        <w:t xml:space="preserve"> definitely</w:t>
      </w:r>
      <w:r w:rsidR="003C6690">
        <w:rPr>
          <w:lang w:val="en-US" w:eastAsia="zh-CN"/>
        </w:rPr>
        <w:t xml:space="preserve"> not be possible to configure </w:t>
      </w:r>
      <w:r w:rsidR="009C7221">
        <w:rPr>
          <w:lang w:val="en-US" w:eastAsia="zh-CN"/>
        </w:rPr>
        <w:t>&gt;</w:t>
      </w:r>
      <w:r w:rsidR="003C6690">
        <w:rPr>
          <w:lang w:val="en-US" w:eastAsia="zh-CN"/>
        </w:rPr>
        <w:t>1.28s DRX in RRC connected state, regardless of what UE enhancements are specified</w:t>
      </w:r>
      <w:r w:rsidR="009C7221">
        <w:rPr>
          <w:lang w:val="en-US" w:eastAsia="zh-CN"/>
        </w:rPr>
        <w:t>. Hence, at least option 1 is fully justified. The remaining question is whether enhanced requirements should be excluded for certain other DRX cycle periodicities like 1.28s or 0.64s.</w:t>
      </w:r>
    </w:p>
    <w:p w14:paraId="5D045852" w14:textId="30191394" w:rsidR="009C7221" w:rsidRDefault="009C7221" w:rsidP="009C7221">
      <w:pPr>
        <w:rPr>
          <w:lang w:val="en-US" w:eastAsia="zh-CN"/>
        </w:rPr>
      </w:pPr>
      <w:r>
        <w:rPr>
          <w:lang w:val="en-US" w:eastAsia="zh-CN"/>
        </w:rPr>
        <w:t xml:space="preserve">The PSS/SSS sync time is 5 samples, and measurement period is proposed to be 3 samples under enhanced requirements. Applying  this with a 0.64s or 1.28s gives a reporting delay of at least 8 DRX cycles, which is significantly greater than 2.88s.  </w:t>
      </w:r>
      <w:r w:rsidR="00592268">
        <w:rPr>
          <w:lang w:val="en-US" w:eastAsia="zh-CN"/>
        </w:rPr>
        <w:t>Considering</w:t>
      </w:r>
      <w:r>
        <w:rPr>
          <w:lang w:val="en-US" w:eastAsia="zh-CN"/>
        </w:rPr>
        <w:t xml:space="preserve"> that the requirement for measurement reporting does not give the complete picture on the delays in handover (time is needed for target cell preparation etc.) we think there is a strong likelihood of radio link </w:t>
      </w:r>
      <w:r w:rsidR="00592268">
        <w:rPr>
          <w:lang w:val="en-US" w:eastAsia="zh-CN"/>
        </w:rPr>
        <w:t>failures</w:t>
      </w:r>
      <w:r>
        <w:rPr>
          <w:lang w:val="en-US" w:eastAsia="zh-CN"/>
        </w:rPr>
        <w:t xml:space="preserve"> with 0.64s or 1.28s DRX cycle. This is also in line with simulation results from other companies provided in </w:t>
      </w:r>
      <w:r>
        <w:rPr>
          <w:lang w:val="en-US" w:eastAsia="zh-CN"/>
        </w:rPr>
        <w:fldChar w:fldCharType="begin"/>
      </w:r>
      <w:r>
        <w:rPr>
          <w:lang w:val="en-US" w:eastAsia="zh-CN"/>
        </w:rPr>
        <w:instrText xml:space="preserve"> REF _Ref36033174 \r \h </w:instrText>
      </w:r>
      <w:r>
        <w:rPr>
          <w:lang w:val="en-US" w:eastAsia="zh-CN"/>
        </w:rPr>
      </w:r>
      <w:r>
        <w:rPr>
          <w:lang w:val="en-US" w:eastAsia="zh-CN"/>
        </w:rPr>
        <w:fldChar w:fldCharType="separate"/>
      </w:r>
      <w:r>
        <w:rPr>
          <w:lang w:val="en-US" w:eastAsia="zh-CN"/>
        </w:rPr>
        <w:t>[3]</w:t>
      </w:r>
      <w:r>
        <w:rPr>
          <w:lang w:val="en-US" w:eastAsia="zh-CN"/>
        </w:rPr>
        <w:fldChar w:fldCharType="end"/>
      </w:r>
      <w:r>
        <w:rPr>
          <w:lang w:val="en-US" w:eastAsia="zh-CN"/>
        </w:rPr>
        <w:t xml:space="preserve"> where it was seen that   </w:t>
      </w:r>
      <w:r w:rsidRPr="009C7221">
        <w:rPr>
          <w:i/>
          <w:iCs/>
          <w:lang w:val="en-US" w:eastAsia="zh-CN"/>
        </w:rPr>
        <w:t>“•</w:t>
      </w:r>
      <w:r w:rsidRPr="009C7221">
        <w:rPr>
          <w:i/>
          <w:iCs/>
          <w:lang w:val="en-US" w:eastAsia="zh-CN"/>
        </w:rPr>
        <w:tab/>
        <w:t>For longest DRX cycle failure rates are high even with low load.</w:t>
      </w:r>
      <w:r>
        <w:rPr>
          <w:lang w:val="en-US" w:eastAsia="zh-CN"/>
        </w:rPr>
        <w:t>”.</w:t>
      </w:r>
      <w:r w:rsidR="00F115E8">
        <w:rPr>
          <w:lang w:val="en-US" w:eastAsia="zh-CN"/>
        </w:rPr>
        <w:t xml:space="preserve"> The simulations used 1000m ISD.</w:t>
      </w:r>
    </w:p>
    <w:p w14:paraId="00CEE84A" w14:textId="04137DFB" w:rsidR="00F115E8" w:rsidRDefault="00F115E8" w:rsidP="009C7221">
      <w:pPr>
        <w:rPr>
          <w:lang w:val="en-US" w:eastAsia="zh-CN"/>
        </w:rPr>
      </w:pPr>
      <w:r>
        <w:rPr>
          <w:lang w:val="en-US" w:eastAsia="zh-CN"/>
        </w:rPr>
        <w:t>Since not all high speed deployments will operate with 500km/h speed, or shortest possible ISD, there is still value in enhancing the requirements for 0.64s and 1.28s DRX cycles, even though they cannot fully meet the worst case in release 16 high speed work. Hence we propose</w:t>
      </w:r>
    </w:p>
    <w:p w14:paraId="7AD4B04A" w14:textId="77777777" w:rsidR="00F115E8" w:rsidRDefault="00F115E8" w:rsidP="009C7221">
      <w:pPr>
        <w:rPr>
          <w:lang w:val="en-US" w:eastAsia="zh-CN"/>
        </w:rPr>
      </w:pPr>
    </w:p>
    <w:p w14:paraId="376BD0C7" w14:textId="57862B5F" w:rsidR="009C7221" w:rsidRPr="00F115E8" w:rsidRDefault="00F115E8" w:rsidP="001F12CD">
      <w:pPr>
        <w:rPr>
          <w:b/>
          <w:bCs/>
          <w:lang w:val="en-US" w:eastAsia="zh-CN"/>
        </w:rPr>
      </w:pPr>
      <w:r>
        <w:rPr>
          <w:b/>
          <w:bCs/>
          <w:lang w:val="en-US" w:eastAsia="zh-CN"/>
        </w:rPr>
        <w:t xml:space="preserve">Proposal 5 : </w:t>
      </w:r>
      <w:r>
        <w:rPr>
          <w:lang w:val="en-US" w:eastAsia="zh-CN"/>
        </w:rPr>
        <w:t>f</w:t>
      </w:r>
      <w:r w:rsidRPr="001F12CD">
        <w:rPr>
          <w:b/>
          <w:bCs/>
          <w:lang w:val="en-US" w:eastAsia="zh-CN"/>
        </w:rPr>
        <w:t>or NR HST, enhanced requirements are considered for DRX cycle &lt;= 1.28s, and no enhanced requirements are considered for DRX cycle = 2.56s</w:t>
      </w:r>
    </w:p>
    <w:p w14:paraId="40FA65CD" w14:textId="1C345247" w:rsidR="003C6690" w:rsidRPr="00F115E8" w:rsidRDefault="00592268" w:rsidP="00F115E8">
      <w:pPr>
        <w:spacing w:line="480" w:lineRule="auto"/>
        <w:rPr>
          <w:b/>
          <w:bCs/>
          <w:lang w:val="en-US" w:eastAsia="zh-CN"/>
        </w:rPr>
      </w:pPr>
      <w:r>
        <w:rPr>
          <w:b/>
          <w:bCs/>
          <w:lang w:val="en-US" w:eastAsia="zh-CN"/>
        </w:rPr>
        <w:t>Proposal</w:t>
      </w:r>
      <w:r w:rsidR="00F115E8">
        <w:rPr>
          <w:b/>
          <w:bCs/>
          <w:lang w:val="en-US" w:eastAsia="zh-CN"/>
        </w:rPr>
        <w:t xml:space="preserve"> 6 : For requirements for NR HST with DRX cycles 0.64s and 1.28s, a note is added such as “Requirements with 0.64s and 1.28s DRX cycle </w:t>
      </w:r>
      <w:r w:rsidR="00F115E8" w:rsidRPr="00590AF4">
        <w:rPr>
          <w:b/>
          <w:bCs/>
          <w:lang w:val="en-US" w:eastAsia="zh-CN"/>
        </w:rPr>
        <w:t>may not be sufficient in all high speed deployments considered in this release of the specifications”</w:t>
      </w:r>
      <w:r w:rsidR="00F115E8">
        <w:rPr>
          <w:b/>
          <w:bCs/>
          <w:lang w:val="en-US" w:eastAsia="zh-CN"/>
        </w:rPr>
        <w:t xml:space="preserve"> should be added in NR high speed specifications”</w:t>
      </w:r>
    </w:p>
    <w:p w14:paraId="5221E09A" w14:textId="1AAC0590" w:rsidR="006B6666" w:rsidRDefault="006B6666" w:rsidP="006B6666">
      <w:pPr>
        <w:pStyle w:val="Heading1"/>
        <w:jc w:val="both"/>
        <w:rPr>
          <w:rFonts w:eastAsia="SimSun"/>
          <w:lang w:val="en-US" w:eastAsia="zh-CN"/>
        </w:rPr>
      </w:pPr>
      <w:r>
        <w:rPr>
          <w:rFonts w:eastAsia="SimSun"/>
          <w:lang w:val="en-US" w:eastAsia="zh-CN"/>
        </w:rPr>
        <w:t>Conclusions</w:t>
      </w:r>
    </w:p>
    <w:p w14:paraId="76D14CF1" w14:textId="612EC677" w:rsidR="00576668" w:rsidRPr="00590AF4" w:rsidRDefault="00590AF4" w:rsidP="00576668">
      <w:pPr>
        <w:rPr>
          <w:noProof/>
        </w:rPr>
      </w:pPr>
      <w:r w:rsidRPr="00590AF4">
        <w:rPr>
          <w:noProof/>
        </w:rPr>
        <w:t xml:space="preserve">In this contribution we analyse the way forward from RAN4#94e from an idle mode RRM perspective and </w:t>
      </w:r>
      <w:r>
        <w:rPr>
          <w:noProof/>
        </w:rPr>
        <w:t>identify main remaining open issues</w:t>
      </w:r>
      <w:r w:rsidR="00F115E8">
        <w:rPr>
          <w:noProof/>
        </w:rPr>
        <w:t xml:space="preserve"> in high speed DRX based RRM requirements for RRC connected state</w:t>
      </w:r>
      <w:r>
        <w:rPr>
          <w:noProof/>
        </w:rPr>
        <w:t>. For these issues we propose:</w:t>
      </w:r>
    </w:p>
    <w:p w14:paraId="245DE9BE" w14:textId="77777777" w:rsidR="00F115E8" w:rsidRPr="003B656D" w:rsidRDefault="00F115E8" w:rsidP="00F115E8">
      <w:pPr>
        <w:rPr>
          <w:b/>
          <w:bCs/>
          <w:lang w:eastAsia="zh-CN"/>
        </w:rPr>
      </w:pPr>
      <w:r>
        <w:rPr>
          <w:b/>
          <w:bCs/>
          <w:lang w:eastAsia="zh-CN"/>
        </w:rPr>
        <w:t>Proposal 1 : 1.5x scaling factor is retained for some SMTC periods</w:t>
      </w:r>
    </w:p>
    <w:p w14:paraId="02272782" w14:textId="39B27AA5" w:rsidR="00F115E8" w:rsidRDefault="00F115E8" w:rsidP="00F115E8">
      <w:pPr>
        <w:rPr>
          <w:b/>
          <w:bCs/>
          <w:lang w:eastAsia="zh-CN"/>
        </w:rPr>
      </w:pPr>
      <w:r>
        <w:rPr>
          <w:b/>
          <w:bCs/>
          <w:lang w:eastAsia="zh-CN"/>
        </w:rPr>
        <w:t xml:space="preserve">Proposal 2 : </w:t>
      </w:r>
      <w:r w:rsidRPr="003B656D">
        <w:rPr>
          <w:b/>
          <w:bCs/>
          <w:lang w:eastAsia="zh-CN"/>
        </w:rPr>
        <w:t xml:space="preserve">When SMTC &lt; 40, remove </w:t>
      </w:r>
      <w:r>
        <w:rPr>
          <w:b/>
          <w:bCs/>
          <w:lang w:eastAsia="zh-CN"/>
        </w:rPr>
        <w:t>1.5x scaling factor</w:t>
      </w:r>
      <w:r w:rsidRPr="003B656D">
        <w:rPr>
          <w:b/>
          <w:bCs/>
          <w:lang w:eastAsia="zh-CN"/>
        </w:rPr>
        <w:t xml:space="preserve">; when SMTC &gt;= 40, </w:t>
      </w:r>
      <w:r>
        <w:rPr>
          <w:b/>
          <w:bCs/>
          <w:lang w:eastAsia="zh-CN"/>
        </w:rPr>
        <w:t>retain 1.5x scaling factor</w:t>
      </w:r>
    </w:p>
    <w:p w14:paraId="1BEA6F39" w14:textId="601C8314" w:rsidR="00F115E8" w:rsidRDefault="00F115E8" w:rsidP="00F115E8">
      <w:pPr>
        <w:rPr>
          <w:b/>
          <w:bCs/>
          <w:lang w:val="en-US" w:eastAsia="zh-CN"/>
        </w:rPr>
      </w:pPr>
      <w:r>
        <w:rPr>
          <w:b/>
          <w:bCs/>
          <w:lang w:val="en-US" w:eastAsia="zh-CN"/>
        </w:rPr>
        <w:t xml:space="preserve">Proposal 3 A note such as </w:t>
      </w:r>
      <w:r w:rsidRPr="00590AF4">
        <w:rPr>
          <w:b/>
          <w:bCs/>
          <w:lang w:val="en-US" w:eastAsia="zh-CN"/>
        </w:rPr>
        <w:t xml:space="preserve">Note x : Operation with scaling factor </w:t>
      </w:r>
      <w:r>
        <w:rPr>
          <w:b/>
          <w:bCs/>
          <w:lang w:val="en-US" w:eastAsia="zh-CN"/>
        </w:rPr>
        <w:t xml:space="preserve">1.5 </w:t>
      </w:r>
      <w:r w:rsidRPr="00590AF4">
        <w:rPr>
          <w:b/>
          <w:bCs/>
          <w:lang w:val="en-US" w:eastAsia="zh-CN"/>
        </w:rPr>
        <w:t xml:space="preserve">may not be sufficient in all high speed deployments considered in this release of the </w:t>
      </w:r>
      <w:r w:rsidR="00592268" w:rsidRPr="00590AF4">
        <w:rPr>
          <w:b/>
          <w:bCs/>
          <w:lang w:val="en-US" w:eastAsia="zh-CN"/>
        </w:rPr>
        <w:t>specifications</w:t>
      </w:r>
      <w:r>
        <w:rPr>
          <w:b/>
          <w:bCs/>
          <w:lang w:val="en-US" w:eastAsia="zh-CN"/>
        </w:rPr>
        <w:t xml:space="preserve"> should be added in NR high speed specifications.</w:t>
      </w:r>
    </w:p>
    <w:p w14:paraId="5DE189CB" w14:textId="5D54649F" w:rsidR="00F115E8" w:rsidRPr="001F12CD" w:rsidRDefault="00F115E8" w:rsidP="00F115E8">
      <w:pPr>
        <w:rPr>
          <w:b/>
          <w:bCs/>
          <w:lang w:eastAsia="zh-CN"/>
        </w:rPr>
      </w:pPr>
      <w:r w:rsidRPr="001F12CD">
        <w:rPr>
          <w:b/>
          <w:bCs/>
          <w:lang w:eastAsia="zh-CN"/>
        </w:rPr>
        <w:lastRenderedPageBreak/>
        <w:t>Proposal 4: 3 samples is used for measurement period for all DRX cycles &lt;0.32s</w:t>
      </w:r>
    </w:p>
    <w:p w14:paraId="6A379757" w14:textId="5DA931DF" w:rsidR="00F115E8" w:rsidRPr="00F115E8" w:rsidRDefault="00F115E8" w:rsidP="00F115E8">
      <w:pPr>
        <w:rPr>
          <w:b/>
          <w:bCs/>
          <w:lang w:val="en-US" w:eastAsia="zh-CN"/>
        </w:rPr>
      </w:pPr>
      <w:r>
        <w:rPr>
          <w:b/>
          <w:bCs/>
          <w:lang w:val="en-US" w:eastAsia="zh-CN"/>
        </w:rPr>
        <w:t xml:space="preserve">Proposal 5 : </w:t>
      </w:r>
      <w:r>
        <w:rPr>
          <w:lang w:val="en-US" w:eastAsia="zh-CN"/>
        </w:rPr>
        <w:t>f</w:t>
      </w:r>
      <w:r w:rsidRPr="001F12CD">
        <w:rPr>
          <w:b/>
          <w:bCs/>
          <w:lang w:val="en-US" w:eastAsia="zh-CN"/>
        </w:rPr>
        <w:t>or NR HST, enhanced requirements are considered for DRX cycle &lt;= 1.28s, and no enhanced requirements are considered for DRX cycle = 2.56s</w:t>
      </w:r>
    </w:p>
    <w:p w14:paraId="545E19FC" w14:textId="0B47C04B" w:rsidR="00153940" w:rsidRPr="00153940" w:rsidRDefault="00592268" w:rsidP="00F115E8">
      <w:pPr>
        <w:rPr>
          <w:lang w:val="en-US" w:eastAsia="zh-CN"/>
        </w:rPr>
      </w:pPr>
      <w:r>
        <w:rPr>
          <w:b/>
          <w:bCs/>
          <w:lang w:val="en-US" w:eastAsia="zh-CN"/>
        </w:rPr>
        <w:t>Proposal</w:t>
      </w:r>
      <w:r w:rsidR="00F115E8">
        <w:rPr>
          <w:b/>
          <w:bCs/>
          <w:lang w:val="en-US" w:eastAsia="zh-CN"/>
        </w:rPr>
        <w:t xml:space="preserve"> 6 : For requirements for NR HST with DRX cycles 0.64s and 1.28s, a note is added such as “Requirements with 0.64s and 1.28s DRX cycle </w:t>
      </w:r>
      <w:r w:rsidR="00F115E8" w:rsidRPr="00590AF4">
        <w:rPr>
          <w:b/>
          <w:bCs/>
          <w:lang w:val="en-US" w:eastAsia="zh-CN"/>
        </w:rPr>
        <w:t>may not be sufficient in all high speed deployments considered in this release of the specifications”</w:t>
      </w:r>
      <w:r w:rsidR="00F115E8">
        <w:rPr>
          <w:b/>
          <w:bCs/>
          <w:lang w:val="en-US" w:eastAsia="zh-CN"/>
        </w:rPr>
        <w:t xml:space="preserve"> should be added in NR high speed specifications</w:t>
      </w:r>
    </w:p>
    <w:p w14:paraId="6A7BD3E8" w14:textId="77777777" w:rsidR="000208BE" w:rsidRPr="003F08E6" w:rsidRDefault="005813AA" w:rsidP="003F08E6">
      <w:pPr>
        <w:pStyle w:val="Heading1"/>
        <w:jc w:val="both"/>
        <w:rPr>
          <w:rFonts w:eastAsia="SimSun"/>
          <w:lang w:val="en-US" w:eastAsia="zh-CN"/>
        </w:rPr>
      </w:pPr>
      <w:r>
        <w:rPr>
          <w:rFonts w:eastAsia="SimSun"/>
          <w:lang w:val="en-US" w:eastAsia="zh-CN"/>
        </w:rPr>
        <w:t>References</w:t>
      </w:r>
    </w:p>
    <w:p w14:paraId="2B7D5768" w14:textId="75C7A4C4" w:rsidR="003F08E6" w:rsidRDefault="00273C34" w:rsidP="000E35CC">
      <w:pPr>
        <w:pStyle w:val="3GPPNormalText"/>
        <w:numPr>
          <w:ilvl w:val="0"/>
          <w:numId w:val="5"/>
        </w:numPr>
        <w:rPr>
          <w:szCs w:val="20"/>
          <w:lang w:eastAsia="zh-CN"/>
        </w:rPr>
      </w:pPr>
      <w:bookmarkStart w:id="3" w:name="_Ref23229642"/>
      <w:bookmarkStart w:id="4" w:name="_Ref35937634"/>
      <w:r>
        <w:rPr>
          <w:szCs w:val="20"/>
          <w:lang w:eastAsia="zh-CN"/>
        </w:rPr>
        <w:t>R4-</w:t>
      </w:r>
      <w:r w:rsidR="00153940">
        <w:rPr>
          <w:szCs w:val="20"/>
          <w:lang w:eastAsia="zh-CN"/>
        </w:rPr>
        <w:t>200</w:t>
      </w:r>
      <w:r w:rsidR="007562AE">
        <w:rPr>
          <w:szCs w:val="20"/>
          <w:lang w:eastAsia="zh-CN"/>
        </w:rPr>
        <w:t>2253</w:t>
      </w:r>
      <w:r>
        <w:rPr>
          <w:szCs w:val="20"/>
          <w:lang w:eastAsia="zh-CN"/>
        </w:rPr>
        <w:t>, “</w:t>
      </w:r>
      <w:r w:rsidRPr="00273C34">
        <w:rPr>
          <w:szCs w:val="20"/>
          <w:lang w:val="en-GB" w:eastAsia="zh-CN"/>
        </w:rPr>
        <w:t xml:space="preserve">Way forward </w:t>
      </w:r>
      <w:r w:rsidR="007562AE">
        <w:rPr>
          <w:szCs w:val="20"/>
          <w:lang w:val="en-GB" w:eastAsia="zh-CN"/>
        </w:rPr>
        <w:t>on RRM for HST</w:t>
      </w:r>
      <w:r>
        <w:rPr>
          <w:szCs w:val="20"/>
          <w:lang w:eastAsia="zh-CN"/>
        </w:rPr>
        <w:t xml:space="preserve">”, </w:t>
      </w:r>
      <w:bookmarkEnd w:id="3"/>
      <w:r w:rsidR="007562AE">
        <w:rPr>
          <w:szCs w:val="20"/>
          <w:lang w:eastAsia="zh-CN"/>
        </w:rPr>
        <w:t>CMCC</w:t>
      </w:r>
      <w:bookmarkEnd w:id="4"/>
    </w:p>
    <w:p w14:paraId="0708DAC2" w14:textId="47E7A30A" w:rsidR="001F12CD" w:rsidRDefault="001F12CD" w:rsidP="000E35CC">
      <w:pPr>
        <w:pStyle w:val="3GPPNormalText"/>
        <w:numPr>
          <w:ilvl w:val="0"/>
          <w:numId w:val="5"/>
        </w:numPr>
        <w:rPr>
          <w:szCs w:val="20"/>
          <w:lang w:eastAsia="zh-CN"/>
        </w:rPr>
      </w:pPr>
      <w:r>
        <w:rPr>
          <w:szCs w:val="20"/>
          <w:lang w:eastAsia="zh-CN"/>
        </w:rPr>
        <w:t>R4-1914640, “</w:t>
      </w:r>
      <w:r w:rsidRPr="001F12CD">
        <w:rPr>
          <w:szCs w:val="20"/>
          <w:lang w:eastAsia="zh-CN"/>
        </w:rPr>
        <w:t>Simulation results for measurements in high speed</w:t>
      </w:r>
      <w:r>
        <w:rPr>
          <w:szCs w:val="20"/>
          <w:lang w:eastAsia="zh-CN"/>
        </w:rPr>
        <w:t>”, Ericsson</w:t>
      </w:r>
    </w:p>
    <w:p w14:paraId="1C667F17" w14:textId="6A1B42FD" w:rsidR="009C7221" w:rsidRDefault="009C7221" w:rsidP="000E35CC">
      <w:pPr>
        <w:pStyle w:val="3GPPNormalText"/>
        <w:numPr>
          <w:ilvl w:val="0"/>
          <w:numId w:val="5"/>
        </w:numPr>
        <w:rPr>
          <w:szCs w:val="20"/>
          <w:lang w:eastAsia="zh-CN"/>
        </w:rPr>
      </w:pPr>
      <w:bookmarkStart w:id="5" w:name="_Ref36033174"/>
      <w:r w:rsidRPr="009C7221">
        <w:rPr>
          <w:szCs w:val="20"/>
          <w:lang w:eastAsia="zh-CN"/>
        </w:rPr>
        <w:t>R4-2001346</w:t>
      </w:r>
      <w:r w:rsidRPr="009C7221">
        <w:rPr>
          <w:szCs w:val="20"/>
          <w:lang w:eastAsia="zh-CN"/>
        </w:rPr>
        <w:tab/>
      </w:r>
      <w:r>
        <w:rPr>
          <w:szCs w:val="20"/>
          <w:lang w:eastAsia="zh-CN"/>
        </w:rPr>
        <w:t>, “</w:t>
      </w:r>
      <w:r w:rsidRPr="009C7221">
        <w:rPr>
          <w:szCs w:val="20"/>
          <w:lang w:eastAsia="zh-CN"/>
        </w:rPr>
        <w:t>System simulation results and RRM Requirements NR HST</w:t>
      </w:r>
      <w:r>
        <w:rPr>
          <w:szCs w:val="20"/>
          <w:lang w:eastAsia="zh-CN"/>
        </w:rPr>
        <w:t>”</w:t>
      </w:r>
      <w:r w:rsidRPr="009C7221">
        <w:rPr>
          <w:szCs w:val="20"/>
          <w:lang w:eastAsia="zh-CN"/>
        </w:rPr>
        <w:tab/>
        <w:t>Nokia, Nokia Shanghai Bell</w:t>
      </w:r>
      <w:bookmarkEnd w:id="5"/>
    </w:p>
    <w:sectPr w:rsidR="009C7221" w:rsidSect="00034006">
      <w:footerReference w:type="even" r:id="rId12"/>
      <w:footerReference w:type="default" r:id="rId13"/>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7C8CE4" w14:textId="77777777" w:rsidR="00D44A71" w:rsidRDefault="00D44A71">
      <w:r>
        <w:separator/>
      </w:r>
    </w:p>
  </w:endnote>
  <w:endnote w:type="continuationSeparator" w:id="0">
    <w:p w14:paraId="49C5C229" w14:textId="77777777" w:rsidR="00D44A71" w:rsidRDefault="00D44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C572E"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FC97E0A" w14:textId="77777777" w:rsidR="00FB04AC" w:rsidRDefault="00FB04AC">
    <w:pPr>
      <w:pStyle w:val="Footer"/>
    </w:pPr>
  </w:p>
  <w:p w14:paraId="7FF5290F" w14:textId="77777777" w:rsidR="00FB04AC" w:rsidRDefault="00FB04AC"/>
  <w:p w14:paraId="7B352612" w14:textId="77777777" w:rsidR="00FB04AC" w:rsidRDefault="00FB04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63ABD"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7B8125D" w14:textId="77777777" w:rsidR="00FB04AC" w:rsidRDefault="00FB04AC">
    <w:pPr>
      <w:pStyle w:val="Footer"/>
      <w:ind w:right="360"/>
    </w:pPr>
  </w:p>
  <w:p w14:paraId="1BA57259" w14:textId="77777777" w:rsidR="00FB04AC" w:rsidRDefault="00FB04AC"/>
  <w:p w14:paraId="35207DC6" w14:textId="77777777" w:rsidR="00FB04AC" w:rsidRDefault="00FB04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4E7CA8" w14:textId="77777777" w:rsidR="00D44A71" w:rsidRDefault="00D44A71">
      <w:r>
        <w:separator/>
      </w:r>
    </w:p>
  </w:footnote>
  <w:footnote w:type="continuationSeparator" w:id="0">
    <w:p w14:paraId="27A9ADBE" w14:textId="77777777" w:rsidR="00D44A71" w:rsidRDefault="00D44A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36457"/>
    <w:multiLevelType w:val="hybridMultilevel"/>
    <w:tmpl w:val="6FB85E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2"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3"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470124D3"/>
    <w:multiLevelType w:val="hybridMultilevel"/>
    <w:tmpl w:val="C33C85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C61739B"/>
    <w:multiLevelType w:val="hybridMultilevel"/>
    <w:tmpl w:val="983EF706"/>
    <w:lvl w:ilvl="0" w:tplc="6464A62E">
      <w:start w:val="1"/>
      <w:numFmt w:val="bullet"/>
      <w:lvlText w:val="•"/>
      <w:lvlJc w:val="left"/>
      <w:pPr>
        <w:tabs>
          <w:tab w:val="num" w:pos="720"/>
        </w:tabs>
        <w:ind w:left="720" w:hanging="360"/>
      </w:pPr>
      <w:rPr>
        <w:rFonts w:ascii="Arial" w:hAnsi="Arial" w:hint="default"/>
      </w:rPr>
    </w:lvl>
    <w:lvl w:ilvl="1" w:tplc="BCF227D8" w:tentative="1">
      <w:start w:val="1"/>
      <w:numFmt w:val="bullet"/>
      <w:lvlText w:val="•"/>
      <w:lvlJc w:val="left"/>
      <w:pPr>
        <w:tabs>
          <w:tab w:val="num" w:pos="1440"/>
        </w:tabs>
        <w:ind w:left="1440" w:hanging="360"/>
      </w:pPr>
      <w:rPr>
        <w:rFonts w:ascii="Arial" w:hAnsi="Arial" w:hint="default"/>
      </w:rPr>
    </w:lvl>
    <w:lvl w:ilvl="2" w:tplc="FC722A60" w:tentative="1">
      <w:start w:val="1"/>
      <w:numFmt w:val="bullet"/>
      <w:lvlText w:val="•"/>
      <w:lvlJc w:val="left"/>
      <w:pPr>
        <w:tabs>
          <w:tab w:val="num" w:pos="2160"/>
        </w:tabs>
        <w:ind w:left="2160" w:hanging="360"/>
      </w:pPr>
      <w:rPr>
        <w:rFonts w:ascii="Arial" w:hAnsi="Arial" w:hint="default"/>
      </w:rPr>
    </w:lvl>
    <w:lvl w:ilvl="3" w:tplc="E7E49238" w:tentative="1">
      <w:start w:val="1"/>
      <w:numFmt w:val="bullet"/>
      <w:lvlText w:val="•"/>
      <w:lvlJc w:val="left"/>
      <w:pPr>
        <w:tabs>
          <w:tab w:val="num" w:pos="2880"/>
        </w:tabs>
        <w:ind w:left="2880" w:hanging="360"/>
      </w:pPr>
      <w:rPr>
        <w:rFonts w:ascii="Arial" w:hAnsi="Arial" w:hint="default"/>
      </w:rPr>
    </w:lvl>
    <w:lvl w:ilvl="4" w:tplc="EE306798" w:tentative="1">
      <w:start w:val="1"/>
      <w:numFmt w:val="bullet"/>
      <w:lvlText w:val="•"/>
      <w:lvlJc w:val="left"/>
      <w:pPr>
        <w:tabs>
          <w:tab w:val="num" w:pos="3600"/>
        </w:tabs>
        <w:ind w:left="3600" w:hanging="360"/>
      </w:pPr>
      <w:rPr>
        <w:rFonts w:ascii="Arial" w:hAnsi="Arial" w:hint="default"/>
      </w:rPr>
    </w:lvl>
    <w:lvl w:ilvl="5" w:tplc="CEEA85FE" w:tentative="1">
      <w:start w:val="1"/>
      <w:numFmt w:val="bullet"/>
      <w:lvlText w:val="•"/>
      <w:lvlJc w:val="left"/>
      <w:pPr>
        <w:tabs>
          <w:tab w:val="num" w:pos="4320"/>
        </w:tabs>
        <w:ind w:left="4320" w:hanging="360"/>
      </w:pPr>
      <w:rPr>
        <w:rFonts w:ascii="Arial" w:hAnsi="Arial" w:hint="default"/>
      </w:rPr>
    </w:lvl>
    <w:lvl w:ilvl="6" w:tplc="0924EEDE" w:tentative="1">
      <w:start w:val="1"/>
      <w:numFmt w:val="bullet"/>
      <w:lvlText w:val="•"/>
      <w:lvlJc w:val="left"/>
      <w:pPr>
        <w:tabs>
          <w:tab w:val="num" w:pos="5040"/>
        </w:tabs>
        <w:ind w:left="5040" w:hanging="360"/>
      </w:pPr>
      <w:rPr>
        <w:rFonts w:ascii="Arial" w:hAnsi="Arial" w:hint="default"/>
      </w:rPr>
    </w:lvl>
    <w:lvl w:ilvl="7" w:tplc="44422D0E" w:tentative="1">
      <w:start w:val="1"/>
      <w:numFmt w:val="bullet"/>
      <w:lvlText w:val="•"/>
      <w:lvlJc w:val="left"/>
      <w:pPr>
        <w:tabs>
          <w:tab w:val="num" w:pos="5760"/>
        </w:tabs>
        <w:ind w:left="5760" w:hanging="360"/>
      </w:pPr>
      <w:rPr>
        <w:rFonts w:ascii="Arial" w:hAnsi="Arial" w:hint="default"/>
      </w:rPr>
    </w:lvl>
    <w:lvl w:ilvl="8" w:tplc="E6863B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BDB30E1"/>
    <w:multiLevelType w:val="hybridMultilevel"/>
    <w:tmpl w:val="6FB85E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E7C0B2B"/>
    <w:multiLevelType w:val="hybridMultilevel"/>
    <w:tmpl w:val="5D528F2E"/>
    <w:lvl w:ilvl="0" w:tplc="674E9052">
      <w:start w:val="1"/>
      <w:numFmt w:val="bullet"/>
      <w:lvlText w:val="•"/>
      <w:lvlJc w:val="left"/>
      <w:pPr>
        <w:tabs>
          <w:tab w:val="num" w:pos="720"/>
        </w:tabs>
        <w:ind w:left="720" w:hanging="360"/>
      </w:pPr>
      <w:rPr>
        <w:rFonts w:ascii="Arial" w:hAnsi="Arial" w:hint="default"/>
      </w:rPr>
    </w:lvl>
    <w:lvl w:ilvl="1" w:tplc="468E4474">
      <w:start w:val="1"/>
      <w:numFmt w:val="bullet"/>
      <w:lvlText w:val="•"/>
      <w:lvlJc w:val="left"/>
      <w:pPr>
        <w:tabs>
          <w:tab w:val="num" w:pos="1440"/>
        </w:tabs>
        <w:ind w:left="1440" w:hanging="360"/>
      </w:pPr>
      <w:rPr>
        <w:rFonts w:ascii="Arial" w:hAnsi="Arial" w:hint="default"/>
      </w:rPr>
    </w:lvl>
    <w:lvl w:ilvl="2" w:tplc="8D4E63BE" w:tentative="1">
      <w:start w:val="1"/>
      <w:numFmt w:val="bullet"/>
      <w:lvlText w:val="•"/>
      <w:lvlJc w:val="left"/>
      <w:pPr>
        <w:tabs>
          <w:tab w:val="num" w:pos="2160"/>
        </w:tabs>
        <w:ind w:left="2160" w:hanging="360"/>
      </w:pPr>
      <w:rPr>
        <w:rFonts w:ascii="Arial" w:hAnsi="Arial" w:hint="default"/>
      </w:rPr>
    </w:lvl>
    <w:lvl w:ilvl="3" w:tplc="FB72F2AE" w:tentative="1">
      <w:start w:val="1"/>
      <w:numFmt w:val="bullet"/>
      <w:lvlText w:val="•"/>
      <w:lvlJc w:val="left"/>
      <w:pPr>
        <w:tabs>
          <w:tab w:val="num" w:pos="2880"/>
        </w:tabs>
        <w:ind w:left="2880" w:hanging="360"/>
      </w:pPr>
      <w:rPr>
        <w:rFonts w:ascii="Arial" w:hAnsi="Arial" w:hint="default"/>
      </w:rPr>
    </w:lvl>
    <w:lvl w:ilvl="4" w:tplc="8E96954A" w:tentative="1">
      <w:start w:val="1"/>
      <w:numFmt w:val="bullet"/>
      <w:lvlText w:val="•"/>
      <w:lvlJc w:val="left"/>
      <w:pPr>
        <w:tabs>
          <w:tab w:val="num" w:pos="3600"/>
        </w:tabs>
        <w:ind w:left="3600" w:hanging="360"/>
      </w:pPr>
      <w:rPr>
        <w:rFonts w:ascii="Arial" w:hAnsi="Arial" w:hint="default"/>
      </w:rPr>
    </w:lvl>
    <w:lvl w:ilvl="5" w:tplc="E416A334" w:tentative="1">
      <w:start w:val="1"/>
      <w:numFmt w:val="bullet"/>
      <w:lvlText w:val="•"/>
      <w:lvlJc w:val="left"/>
      <w:pPr>
        <w:tabs>
          <w:tab w:val="num" w:pos="4320"/>
        </w:tabs>
        <w:ind w:left="4320" w:hanging="360"/>
      </w:pPr>
      <w:rPr>
        <w:rFonts w:ascii="Arial" w:hAnsi="Arial" w:hint="default"/>
      </w:rPr>
    </w:lvl>
    <w:lvl w:ilvl="6" w:tplc="B530732E" w:tentative="1">
      <w:start w:val="1"/>
      <w:numFmt w:val="bullet"/>
      <w:lvlText w:val="•"/>
      <w:lvlJc w:val="left"/>
      <w:pPr>
        <w:tabs>
          <w:tab w:val="num" w:pos="5040"/>
        </w:tabs>
        <w:ind w:left="5040" w:hanging="360"/>
      </w:pPr>
      <w:rPr>
        <w:rFonts w:ascii="Arial" w:hAnsi="Arial" w:hint="default"/>
      </w:rPr>
    </w:lvl>
    <w:lvl w:ilvl="7" w:tplc="36E08550" w:tentative="1">
      <w:start w:val="1"/>
      <w:numFmt w:val="bullet"/>
      <w:lvlText w:val="•"/>
      <w:lvlJc w:val="left"/>
      <w:pPr>
        <w:tabs>
          <w:tab w:val="num" w:pos="5760"/>
        </w:tabs>
        <w:ind w:left="5760" w:hanging="360"/>
      </w:pPr>
      <w:rPr>
        <w:rFonts w:ascii="Arial" w:hAnsi="Arial" w:hint="default"/>
      </w:rPr>
    </w:lvl>
    <w:lvl w:ilvl="8" w:tplc="E4CACC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56701D"/>
    <w:multiLevelType w:val="hybridMultilevel"/>
    <w:tmpl w:val="2F7AE9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3"/>
  </w:num>
  <w:num w:numId="2">
    <w:abstractNumId w:val="8"/>
  </w:num>
  <w:num w:numId="3">
    <w:abstractNumId w:val="10"/>
  </w:num>
  <w:num w:numId="4">
    <w:abstractNumId w:val="1"/>
  </w:num>
  <w:num w:numId="5">
    <w:abstractNumId w:val="2"/>
  </w:num>
  <w:num w:numId="6">
    <w:abstractNumId w:val="9"/>
  </w:num>
  <w:num w:numId="7">
    <w:abstractNumId w:val="6"/>
  </w:num>
  <w:num w:numId="8">
    <w:abstractNumId w:val="0"/>
  </w:num>
  <w:num w:numId="9">
    <w:abstractNumId w:val="4"/>
  </w:num>
  <w:num w:numId="10">
    <w:abstractNumId w:val="5"/>
  </w:num>
  <w:num w:numId="11">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6F45"/>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6C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0C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719"/>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12"/>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3940"/>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D42"/>
    <w:rsid w:val="001D4FC4"/>
    <w:rsid w:val="001D5080"/>
    <w:rsid w:val="001D50BC"/>
    <w:rsid w:val="001D52E4"/>
    <w:rsid w:val="001D53C6"/>
    <w:rsid w:val="001D5430"/>
    <w:rsid w:val="001D5C6B"/>
    <w:rsid w:val="001D5D39"/>
    <w:rsid w:val="001D607A"/>
    <w:rsid w:val="001D66FC"/>
    <w:rsid w:val="001D6CFD"/>
    <w:rsid w:val="001D6DDD"/>
    <w:rsid w:val="001D6E97"/>
    <w:rsid w:val="001D7108"/>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B0C"/>
    <w:rsid w:val="001E6DBA"/>
    <w:rsid w:val="001E6F22"/>
    <w:rsid w:val="001E72D2"/>
    <w:rsid w:val="001E7803"/>
    <w:rsid w:val="001E7870"/>
    <w:rsid w:val="001E7B63"/>
    <w:rsid w:val="001F06A9"/>
    <w:rsid w:val="001F099B"/>
    <w:rsid w:val="001F0A67"/>
    <w:rsid w:val="001F11EB"/>
    <w:rsid w:val="001F12CD"/>
    <w:rsid w:val="001F161C"/>
    <w:rsid w:val="001F1AFB"/>
    <w:rsid w:val="001F1D0F"/>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6B5"/>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34"/>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33B"/>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6A6"/>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3F0"/>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D63"/>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D8D"/>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56D"/>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69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2B8"/>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3FD9"/>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0D04"/>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347"/>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2F2D"/>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7F3"/>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176"/>
    <w:rsid w:val="004E77C1"/>
    <w:rsid w:val="004E782E"/>
    <w:rsid w:val="004E78C8"/>
    <w:rsid w:val="004E7BB7"/>
    <w:rsid w:val="004E7D3D"/>
    <w:rsid w:val="004F05EC"/>
    <w:rsid w:val="004F0936"/>
    <w:rsid w:val="004F0A6E"/>
    <w:rsid w:val="004F0EDA"/>
    <w:rsid w:val="004F19E3"/>
    <w:rsid w:val="004F2609"/>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A49"/>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668"/>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4C06"/>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AF4"/>
    <w:rsid w:val="00590E1D"/>
    <w:rsid w:val="00591486"/>
    <w:rsid w:val="00591707"/>
    <w:rsid w:val="005919A6"/>
    <w:rsid w:val="005919ED"/>
    <w:rsid w:val="00591B05"/>
    <w:rsid w:val="00591B92"/>
    <w:rsid w:val="00591EC0"/>
    <w:rsid w:val="00592268"/>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148"/>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3D5"/>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97A"/>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388"/>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8CE"/>
    <w:rsid w:val="006C19D1"/>
    <w:rsid w:val="006C1BE3"/>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5F64"/>
    <w:rsid w:val="006C657B"/>
    <w:rsid w:val="006C7168"/>
    <w:rsid w:val="006C738A"/>
    <w:rsid w:val="006C757A"/>
    <w:rsid w:val="006C7711"/>
    <w:rsid w:val="006C7855"/>
    <w:rsid w:val="006C7C3F"/>
    <w:rsid w:val="006C7C5A"/>
    <w:rsid w:val="006D0A88"/>
    <w:rsid w:val="006D0E98"/>
    <w:rsid w:val="006D1AAF"/>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967"/>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257"/>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2DD"/>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2AE"/>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AD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5DA"/>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638"/>
    <w:rsid w:val="00837AA5"/>
    <w:rsid w:val="0084009E"/>
    <w:rsid w:val="0084078A"/>
    <w:rsid w:val="00840870"/>
    <w:rsid w:val="00840C7F"/>
    <w:rsid w:val="008413D9"/>
    <w:rsid w:val="00841A53"/>
    <w:rsid w:val="008422D7"/>
    <w:rsid w:val="00842405"/>
    <w:rsid w:val="00842F46"/>
    <w:rsid w:val="008430E9"/>
    <w:rsid w:val="0084379E"/>
    <w:rsid w:val="00843A87"/>
    <w:rsid w:val="00843AD9"/>
    <w:rsid w:val="00843BF9"/>
    <w:rsid w:val="00843DBD"/>
    <w:rsid w:val="0084411E"/>
    <w:rsid w:val="00844161"/>
    <w:rsid w:val="008442F9"/>
    <w:rsid w:val="0084439D"/>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5CDF"/>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C1"/>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ADC"/>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EB1"/>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23"/>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051"/>
    <w:rsid w:val="009A24A7"/>
    <w:rsid w:val="009A2D3A"/>
    <w:rsid w:val="009A3111"/>
    <w:rsid w:val="009A37BA"/>
    <w:rsid w:val="009A3D8F"/>
    <w:rsid w:val="009A3E04"/>
    <w:rsid w:val="009A3F60"/>
    <w:rsid w:val="009A4647"/>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46"/>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26D"/>
    <w:rsid w:val="009C6322"/>
    <w:rsid w:val="009C67FD"/>
    <w:rsid w:val="009C6A9A"/>
    <w:rsid w:val="009C6DEC"/>
    <w:rsid w:val="009C7221"/>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ECA"/>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6C"/>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41C"/>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206"/>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C7"/>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0F54"/>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065"/>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1A35"/>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97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A3B"/>
    <w:rsid w:val="00B77B94"/>
    <w:rsid w:val="00B806A3"/>
    <w:rsid w:val="00B8088A"/>
    <w:rsid w:val="00B81106"/>
    <w:rsid w:val="00B81528"/>
    <w:rsid w:val="00B815E1"/>
    <w:rsid w:val="00B81794"/>
    <w:rsid w:val="00B81FC0"/>
    <w:rsid w:val="00B81FFC"/>
    <w:rsid w:val="00B82171"/>
    <w:rsid w:val="00B824FA"/>
    <w:rsid w:val="00B8289C"/>
    <w:rsid w:val="00B82F31"/>
    <w:rsid w:val="00B830F0"/>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66"/>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91A"/>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489"/>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29F7"/>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158"/>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4A25"/>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D2"/>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AEA"/>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A71"/>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A7E4F"/>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E00"/>
    <w:rsid w:val="00E14FE5"/>
    <w:rsid w:val="00E15022"/>
    <w:rsid w:val="00E15100"/>
    <w:rsid w:val="00E151FE"/>
    <w:rsid w:val="00E15211"/>
    <w:rsid w:val="00E1530B"/>
    <w:rsid w:val="00E1538E"/>
    <w:rsid w:val="00E1543D"/>
    <w:rsid w:val="00E1556C"/>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04B"/>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B1"/>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5E8"/>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4AC"/>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5B07C5"/>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2509632">
      <w:bodyDiv w:val="1"/>
      <w:marLeft w:val="0"/>
      <w:marRight w:val="0"/>
      <w:marTop w:val="0"/>
      <w:marBottom w:val="0"/>
      <w:divBdr>
        <w:top w:val="none" w:sz="0" w:space="0" w:color="auto"/>
        <w:left w:val="none" w:sz="0" w:space="0" w:color="auto"/>
        <w:bottom w:val="none" w:sz="0" w:space="0" w:color="auto"/>
        <w:right w:val="none" w:sz="0" w:space="0" w:color="auto"/>
      </w:divBdr>
      <w:divsChild>
        <w:div w:id="1797066162">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4793006">
      <w:bodyDiv w:val="1"/>
      <w:marLeft w:val="0"/>
      <w:marRight w:val="0"/>
      <w:marTop w:val="0"/>
      <w:marBottom w:val="0"/>
      <w:divBdr>
        <w:top w:val="none" w:sz="0" w:space="0" w:color="auto"/>
        <w:left w:val="none" w:sz="0" w:space="0" w:color="auto"/>
        <w:bottom w:val="none" w:sz="0" w:space="0" w:color="auto"/>
        <w:right w:val="none" w:sz="0" w:space="0" w:color="auto"/>
      </w:divBdr>
    </w:div>
    <w:div w:id="97877605">
      <w:bodyDiv w:val="1"/>
      <w:marLeft w:val="0"/>
      <w:marRight w:val="0"/>
      <w:marTop w:val="0"/>
      <w:marBottom w:val="0"/>
      <w:divBdr>
        <w:top w:val="none" w:sz="0" w:space="0" w:color="auto"/>
        <w:left w:val="none" w:sz="0" w:space="0" w:color="auto"/>
        <w:bottom w:val="none" w:sz="0" w:space="0" w:color="auto"/>
        <w:right w:val="none" w:sz="0" w:space="0" w:color="auto"/>
      </w:divBdr>
      <w:divsChild>
        <w:div w:id="137845499">
          <w:marLeft w:val="1166"/>
          <w:marRight w:val="0"/>
          <w:marTop w:val="96"/>
          <w:marBottom w:val="0"/>
          <w:divBdr>
            <w:top w:val="none" w:sz="0" w:space="0" w:color="auto"/>
            <w:left w:val="none" w:sz="0" w:space="0" w:color="auto"/>
            <w:bottom w:val="none" w:sz="0" w:space="0" w:color="auto"/>
            <w:right w:val="none" w:sz="0" w:space="0" w:color="auto"/>
          </w:divBdr>
        </w:div>
        <w:div w:id="910507393">
          <w:marLeft w:val="1166"/>
          <w:marRight w:val="0"/>
          <w:marTop w:val="96"/>
          <w:marBottom w:val="0"/>
          <w:divBdr>
            <w:top w:val="none" w:sz="0" w:space="0" w:color="auto"/>
            <w:left w:val="none" w:sz="0" w:space="0" w:color="auto"/>
            <w:bottom w:val="none" w:sz="0" w:space="0" w:color="auto"/>
            <w:right w:val="none" w:sz="0" w:space="0" w:color="auto"/>
          </w:divBdr>
        </w:div>
        <w:div w:id="75251869">
          <w:marLeft w:val="1166"/>
          <w:marRight w:val="0"/>
          <w:marTop w:val="96"/>
          <w:marBottom w:val="0"/>
          <w:divBdr>
            <w:top w:val="none" w:sz="0" w:space="0" w:color="auto"/>
            <w:left w:val="none" w:sz="0" w:space="0" w:color="auto"/>
            <w:bottom w:val="none" w:sz="0" w:space="0" w:color="auto"/>
            <w:right w:val="none" w:sz="0" w:space="0" w:color="auto"/>
          </w:divBdr>
        </w:div>
        <w:div w:id="1266234368">
          <w:marLeft w:val="1166"/>
          <w:marRight w:val="0"/>
          <w:marTop w:val="96"/>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3519432">
      <w:bodyDiv w:val="1"/>
      <w:marLeft w:val="0"/>
      <w:marRight w:val="0"/>
      <w:marTop w:val="0"/>
      <w:marBottom w:val="0"/>
      <w:divBdr>
        <w:top w:val="none" w:sz="0" w:space="0" w:color="auto"/>
        <w:left w:val="none" w:sz="0" w:space="0" w:color="auto"/>
        <w:bottom w:val="none" w:sz="0" w:space="0" w:color="auto"/>
        <w:right w:val="none" w:sz="0" w:space="0" w:color="auto"/>
      </w:divBdr>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88570423">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9674419">
      <w:bodyDiv w:val="1"/>
      <w:marLeft w:val="0"/>
      <w:marRight w:val="0"/>
      <w:marTop w:val="0"/>
      <w:marBottom w:val="0"/>
      <w:divBdr>
        <w:top w:val="none" w:sz="0" w:space="0" w:color="auto"/>
        <w:left w:val="none" w:sz="0" w:space="0" w:color="auto"/>
        <w:bottom w:val="none" w:sz="0" w:space="0" w:color="auto"/>
        <w:right w:val="none" w:sz="0" w:space="0" w:color="auto"/>
      </w:divBdr>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486082">
      <w:bodyDiv w:val="1"/>
      <w:marLeft w:val="0"/>
      <w:marRight w:val="0"/>
      <w:marTop w:val="0"/>
      <w:marBottom w:val="0"/>
      <w:divBdr>
        <w:top w:val="none" w:sz="0" w:space="0" w:color="auto"/>
        <w:left w:val="none" w:sz="0" w:space="0" w:color="auto"/>
        <w:bottom w:val="none" w:sz="0" w:space="0" w:color="auto"/>
        <w:right w:val="none" w:sz="0" w:space="0" w:color="auto"/>
      </w:divBdr>
      <w:divsChild>
        <w:div w:id="378821708">
          <w:marLeft w:val="1166"/>
          <w:marRight w:val="0"/>
          <w:marTop w:val="96"/>
          <w:marBottom w:val="0"/>
          <w:divBdr>
            <w:top w:val="none" w:sz="0" w:space="0" w:color="auto"/>
            <w:left w:val="none" w:sz="0" w:space="0" w:color="auto"/>
            <w:bottom w:val="none" w:sz="0" w:space="0" w:color="auto"/>
            <w:right w:val="none" w:sz="0" w:space="0" w:color="auto"/>
          </w:divBdr>
        </w:div>
        <w:div w:id="587737234">
          <w:marLeft w:val="1166"/>
          <w:marRight w:val="0"/>
          <w:marTop w:val="96"/>
          <w:marBottom w:val="0"/>
          <w:divBdr>
            <w:top w:val="none" w:sz="0" w:space="0" w:color="auto"/>
            <w:left w:val="none" w:sz="0" w:space="0" w:color="auto"/>
            <w:bottom w:val="none" w:sz="0" w:space="0" w:color="auto"/>
            <w:right w:val="none" w:sz="0" w:space="0" w:color="auto"/>
          </w:divBdr>
        </w:div>
        <w:div w:id="329648386">
          <w:marLeft w:val="1166"/>
          <w:marRight w:val="0"/>
          <w:marTop w:val="96"/>
          <w:marBottom w:val="0"/>
          <w:divBdr>
            <w:top w:val="none" w:sz="0" w:space="0" w:color="auto"/>
            <w:left w:val="none" w:sz="0" w:space="0" w:color="auto"/>
            <w:bottom w:val="none" w:sz="0" w:space="0" w:color="auto"/>
            <w:right w:val="none" w:sz="0" w:space="0" w:color="auto"/>
          </w:divBdr>
        </w:div>
        <w:div w:id="1196501413">
          <w:marLeft w:val="1166"/>
          <w:marRight w:val="0"/>
          <w:marTop w:val="96"/>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6840314">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193686182">
      <w:bodyDiv w:val="1"/>
      <w:marLeft w:val="0"/>
      <w:marRight w:val="0"/>
      <w:marTop w:val="0"/>
      <w:marBottom w:val="0"/>
      <w:divBdr>
        <w:top w:val="none" w:sz="0" w:space="0" w:color="auto"/>
        <w:left w:val="none" w:sz="0" w:space="0" w:color="auto"/>
        <w:bottom w:val="none" w:sz="0" w:space="0" w:color="auto"/>
        <w:right w:val="none" w:sz="0" w:space="0" w:color="auto"/>
      </w:divBdr>
      <w:divsChild>
        <w:div w:id="1654024071">
          <w:marLeft w:val="547"/>
          <w:marRight w:val="0"/>
          <w:marTop w:val="86"/>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053753">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67449428">
      <w:bodyDiv w:val="1"/>
      <w:marLeft w:val="0"/>
      <w:marRight w:val="0"/>
      <w:marTop w:val="0"/>
      <w:marBottom w:val="0"/>
      <w:divBdr>
        <w:top w:val="none" w:sz="0" w:space="0" w:color="auto"/>
        <w:left w:val="none" w:sz="0" w:space="0" w:color="auto"/>
        <w:bottom w:val="none" w:sz="0" w:space="0" w:color="auto"/>
        <w:right w:val="none" w:sz="0" w:space="0" w:color="auto"/>
      </w:divBdr>
      <w:divsChild>
        <w:div w:id="1588881446">
          <w:marLeft w:val="547"/>
          <w:marRight w:val="0"/>
          <w:marTop w:val="115"/>
          <w:marBottom w:val="0"/>
          <w:divBdr>
            <w:top w:val="none" w:sz="0" w:space="0" w:color="auto"/>
            <w:left w:val="none" w:sz="0" w:space="0" w:color="auto"/>
            <w:bottom w:val="none" w:sz="0" w:space="0" w:color="auto"/>
            <w:right w:val="none" w:sz="0" w:space="0" w:color="auto"/>
          </w:divBdr>
        </w:div>
        <w:div w:id="1495605960">
          <w:marLeft w:val="1166"/>
          <w:marRight w:val="0"/>
          <w:marTop w:val="115"/>
          <w:marBottom w:val="0"/>
          <w:divBdr>
            <w:top w:val="none" w:sz="0" w:space="0" w:color="auto"/>
            <w:left w:val="none" w:sz="0" w:space="0" w:color="auto"/>
            <w:bottom w:val="none" w:sz="0" w:space="0" w:color="auto"/>
            <w:right w:val="none" w:sz="0" w:space="0" w:color="auto"/>
          </w:divBdr>
        </w:div>
      </w:divsChild>
    </w:div>
    <w:div w:id="1583029265">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3756568">
      <w:bodyDiv w:val="1"/>
      <w:marLeft w:val="0"/>
      <w:marRight w:val="0"/>
      <w:marTop w:val="0"/>
      <w:marBottom w:val="0"/>
      <w:divBdr>
        <w:top w:val="none" w:sz="0" w:space="0" w:color="auto"/>
        <w:left w:val="none" w:sz="0" w:space="0" w:color="auto"/>
        <w:bottom w:val="none" w:sz="0" w:space="0" w:color="auto"/>
        <w:right w:val="none" w:sz="0" w:space="0" w:color="auto"/>
      </w:divBdr>
      <w:divsChild>
        <w:div w:id="1767069421">
          <w:marLeft w:val="720"/>
          <w:marRight w:val="0"/>
          <w:marTop w:val="96"/>
          <w:marBottom w:val="0"/>
          <w:divBdr>
            <w:top w:val="none" w:sz="0" w:space="0" w:color="auto"/>
            <w:left w:val="none" w:sz="0" w:space="0" w:color="auto"/>
            <w:bottom w:val="none" w:sz="0" w:space="0" w:color="auto"/>
            <w:right w:val="none" w:sz="0" w:space="0" w:color="auto"/>
          </w:divBdr>
        </w:div>
      </w:divsChild>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0133926">
      <w:bodyDiv w:val="1"/>
      <w:marLeft w:val="0"/>
      <w:marRight w:val="0"/>
      <w:marTop w:val="0"/>
      <w:marBottom w:val="0"/>
      <w:divBdr>
        <w:top w:val="none" w:sz="0" w:space="0" w:color="auto"/>
        <w:left w:val="none" w:sz="0" w:space="0" w:color="auto"/>
        <w:bottom w:val="none" w:sz="0" w:space="0" w:color="auto"/>
        <w:right w:val="none" w:sz="0" w:space="0" w:color="auto"/>
      </w:divBdr>
      <w:divsChild>
        <w:div w:id="609238594">
          <w:marLeft w:val="1166"/>
          <w:marRight w:val="0"/>
          <w:marTop w:val="86"/>
          <w:marBottom w:val="0"/>
          <w:divBdr>
            <w:top w:val="none" w:sz="0" w:space="0" w:color="auto"/>
            <w:left w:val="none" w:sz="0" w:space="0" w:color="auto"/>
            <w:bottom w:val="none" w:sz="0" w:space="0" w:color="auto"/>
            <w:right w:val="none" w:sz="0" w:space="0" w:color="auto"/>
          </w:divBdr>
        </w:div>
        <w:div w:id="432095956">
          <w:marLeft w:val="1166"/>
          <w:marRight w:val="0"/>
          <w:marTop w:val="86"/>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796945586">
      <w:bodyDiv w:val="1"/>
      <w:marLeft w:val="0"/>
      <w:marRight w:val="0"/>
      <w:marTop w:val="0"/>
      <w:marBottom w:val="0"/>
      <w:divBdr>
        <w:top w:val="none" w:sz="0" w:space="0" w:color="auto"/>
        <w:left w:val="none" w:sz="0" w:space="0" w:color="auto"/>
        <w:bottom w:val="none" w:sz="0" w:space="0" w:color="auto"/>
        <w:right w:val="none" w:sz="0" w:space="0" w:color="auto"/>
      </w:divBdr>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37253067">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60841756">
      <w:bodyDiv w:val="1"/>
      <w:marLeft w:val="0"/>
      <w:marRight w:val="0"/>
      <w:marTop w:val="0"/>
      <w:marBottom w:val="0"/>
      <w:divBdr>
        <w:top w:val="none" w:sz="0" w:space="0" w:color="auto"/>
        <w:left w:val="none" w:sz="0" w:space="0" w:color="auto"/>
        <w:bottom w:val="none" w:sz="0" w:space="0" w:color="auto"/>
        <w:right w:val="none" w:sz="0" w:space="0" w:color="auto"/>
      </w:divBdr>
      <w:divsChild>
        <w:div w:id="485052581">
          <w:marLeft w:val="547"/>
          <w:marRight w:val="0"/>
          <w:marTop w:val="115"/>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5083631">
      <w:bodyDiv w:val="1"/>
      <w:marLeft w:val="0"/>
      <w:marRight w:val="0"/>
      <w:marTop w:val="0"/>
      <w:marBottom w:val="0"/>
      <w:divBdr>
        <w:top w:val="none" w:sz="0" w:space="0" w:color="auto"/>
        <w:left w:val="none" w:sz="0" w:space="0" w:color="auto"/>
        <w:bottom w:val="none" w:sz="0" w:space="0" w:color="auto"/>
        <w:right w:val="none" w:sz="0" w:space="0" w:color="auto"/>
      </w:divBdr>
      <w:divsChild>
        <w:div w:id="966668585">
          <w:marLeft w:val="547"/>
          <w:marRight w:val="0"/>
          <w:marTop w:val="86"/>
          <w:marBottom w:val="0"/>
          <w:divBdr>
            <w:top w:val="none" w:sz="0" w:space="0" w:color="auto"/>
            <w:left w:val="none" w:sz="0" w:space="0" w:color="auto"/>
            <w:bottom w:val="none" w:sz="0" w:space="0" w:color="auto"/>
            <w:right w:val="none" w:sz="0" w:space="0" w:color="auto"/>
          </w:divBdr>
        </w:div>
      </w:divsChild>
    </w:div>
    <w:div w:id="2075657153">
      <w:bodyDiv w:val="1"/>
      <w:marLeft w:val="0"/>
      <w:marRight w:val="0"/>
      <w:marTop w:val="0"/>
      <w:marBottom w:val="0"/>
      <w:divBdr>
        <w:top w:val="none" w:sz="0" w:space="0" w:color="auto"/>
        <w:left w:val="none" w:sz="0" w:space="0" w:color="auto"/>
        <w:bottom w:val="none" w:sz="0" w:space="0" w:color="auto"/>
        <w:right w:val="none" w:sz="0" w:space="0" w:color="auto"/>
      </w:divBdr>
      <w:divsChild>
        <w:div w:id="1990093354">
          <w:marLeft w:val="547"/>
          <w:marRight w:val="0"/>
          <w:marTop w:val="115"/>
          <w:marBottom w:val="0"/>
          <w:divBdr>
            <w:top w:val="none" w:sz="0" w:space="0" w:color="auto"/>
            <w:left w:val="none" w:sz="0" w:space="0" w:color="auto"/>
            <w:bottom w:val="none" w:sz="0" w:space="0" w:color="auto"/>
            <w:right w:val="none" w:sz="0" w:space="0" w:color="auto"/>
          </w:divBdr>
        </w:div>
        <w:div w:id="633876376">
          <w:marLeft w:val="1166"/>
          <w:marRight w:val="0"/>
          <w:marTop w:val="96"/>
          <w:marBottom w:val="0"/>
          <w:divBdr>
            <w:top w:val="none" w:sz="0" w:space="0" w:color="auto"/>
            <w:left w:val="none" w:sz="0" w:space="0" w:color="auto"/>
            <w:bottom w:val="none" w:sz="0" w:space="0" w:color="auto"/>
            <w:right w:val="none" w:sz="0" w:space="0" w:color="auto"/>
          </w:divBdr>
        </w:div>
        <w:div w:id="1245989818">
          <w:marLeft w:val="1800"/>
          <w:marRight w:val="0"/>
          <w:marTop w:val="96"/>
          <w:marBottom w:val="0"/>
          <w:divBdr>
            <w:top w:val="none" w:sz="0" w:space="0" w:color="auto"/>
            <w:left w:val="none" w:sz="0" w:space="0" w:color="auto"/>
            <w:bottom w:val="none" w:sz="0" w:space="0" w:color="auto"/>
            <w:right w:val="none" w:sz="0" w:space="0" w:color="auto"/>
          </w:divBdr>
        </w:div>
        <w:div w:id="1539853976">
          <w:marLeft w:val="1166"/>
          <w:marRight w:val="0"/>
          <w:marTop w:val="96"/>
          <w:marBottom w:val="0"/>
          <w:divBdr>
            <w:top w:val="none" w:sz="0" w:space="0" w:color="auto"/>
            <w:left w:val="none" w:sz="0" w:space="0" w:color="auto"/>
            <w:bottom w:val="none" w:sz="0" w:space="0" w:color="auto"/>
            <w:right w:val="none" w:sz="0" w:space="0" w:color="auto"/>
          </w:divBdr>
        </w:div>
        <w:div w:id="442503458">
          <w:marLeft w:val="1166"/>
          <w:marRight w:val="0"/>
          <w:marTop w:val="96"/>
          <w:marBottom w:val="0"/>
          <w:divBdr>
            <w:top w:val="none" w:sz="0" w:space="0" w:color="auto"/>
            <w:left w:val="none" w:sz="0" w:space="0" w:color="auto"/>
            <w:bottom w:val="none" w:sz="0" w:space="0" w:color="auto"/>
            <w:right w:val="none" w:sz="0" w:space="0" w:color="auto"/>
          </w:divBdr>
        </w:div>
        <w:div w:id="1874921120">
          <w:marLeft w:val="1800"/>
          <w:marRight w:val="0"/>
          <w:marTop w:val="96"/>
          <w:marBottom w:val="0"/>
          <w:divBdr>
            <w:top w:val="none" w:sz="0" w:space="0" w:color="auto"/>
            <w:left w:val="none" w:sz="0" w:space="0" w:color="auto"/>
            <w:bottom w:val="none" w:sz="0" w:space="0" w:color="auto"/>
            <w:right w:val="none" w:sz="0" w:space="0" w:color="auto"/>
          </w:divBdr>
        </w:div>
        <w:div w:id="277682075">
          <w:marLeft w:val="1800"/>
          <w:marRight w:val="0"/>
          <w:marTop w:val="96"/>
          <w:marBottom w:val="0"/>
          <w:divBdr>
            <w:top w:val="none" w:sz="0" w:space="0" w:color="auto"/>
            <w:left w:val="none" w:sz="0" w:space="0" w:color="auto"/>
            <w:bottom w:val="none" w:sz="0" w:space="0" w:color="auto"/>
            <w:right w:val="none" w:sz="0" w:space="0" w:color="auto"/>
          </w:divBdr>
        </w:div>
        <w:div w:id="2008288382">
          <w:marLeft w:val="1166"/>
          <w:marRight w:val="0"/>
          <w:marTop w:val="96"/>
          <w:marBottom w:val="0"/>
          <w:divBdr>
            <w:top w:val="none" w:sz="0" w:space="0" w:color="auto"/>
            <w:left w:val="none" w:sz="0" w:space="0" w:color="auto"/>
            <w:bottom w:val="none" w:sz="0" w:space="0" w:color="auto"/>
            <w:right w:val="none" w:sz="0" w:space="0" w:color="auto"/>
          </w:divBdr>
        </w:div>
        <w:div w:id="430321901">
          <w:marLeft w:val="1166"/>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0" ma:contentTypeDescription="Create a new document." ma:contentTypeScope="" ma:versionID="e2bad74b1cb3b8bfed56447b45c4faaa">
  <xsd:schema xmlns:xsd="http://www.w3.org/2001/XMLSchema" xmlns:xs="http://www.w3.org/2001/XMLSchema" xmlns:p="http://schemas.microsoft.com/office/2006/metadata/properties" xmlns:ns3="4eafe1cd-7012-4cd6-af26-391f29e41b78" targetNamespace="http://schemas.microsoft.com/office/2006/metadata/properties" ma:root="true" ma:fieldsID="cc634ee3a9172c0f9810b6e704666b67" ns3:_="">
    <xsd:import namespace="4eafe1cd-7012-4cd6-af26-391f29e41b7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CC42ABE9-4681-4EC9-96FC-2A62C3F08C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E8CA50-C08E-4F0B-82B8-00E4F7836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4</Pages>
  <Words>1782</Words>
  <Characters>10158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Ericsson</cp:lastModifiedBy>
  <cp:revision>2</cp:revision>
  <cp:lastPrinted>2009-04-22T13:01:00Z</cp:lastPrinted>
  <dcterms:created xsi:type="dcterms:W3CDTF">2020-04-09T14:15:00Z</dcterms:created>
  <dcterms:modified xsi:type="dcterms:W3CDTF">2020-04-09T14:15:00Z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0x010100C30B4DDDC204E543820567BBDE657C68</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